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 (Security)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240" w:lineRule="auto"/>
        <w:ind w:left="567" w:hanging="567"/>
        <w:rPr>
          <w:b w:val="1"/>
          <w:color w:val="000000"/>
          <w:sz w:val="24"/>
          <w:szCs w:val="24"/>
        </w:rPr>
      </w:pPr>
      <w:r w:rsidDel="00000000" w:rsidR="00000000" w:rsidRPr="00000000">
        <w:rPr>
          <w:b w:val="1"/>
          <w:color w:val="000000"/>
          <w:sz w:val="24"/>
          <w:szCs w:val="24"/>
          <w:highlight w:val="yellow"/>
          <w:rtl w:val="0"/>
        </w:rPr>
        <w:t xml:space="preserve">[Guidance Note: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Buyer to Select whether or when Part A (Short Form Security Requirements) or Part B (Long Form Security Requirements) should apply. Part B should be considered where there is a high level of risk to personal or sensitive data.]</w:t>
      </w:r>
      <w:r w:rsidDel="00000000" w:rsidR="00000000" w:rsidRPr="00000000">
        <w:rPr>
          <w:b w:val="1"/>
          <w:color w:val="000000"/>
          <w:sz w:val="24"/>
          <w:szCs w:val="24"/>
          <w:rtl w:val="0"/>
        </w:rPr>
        <w:t xml:space="preserve"> </w:t>
      </w:r>
    </w:p>
    <w:bookmarkStart w:colFirst="0" w:colLast="0" w:name="bookmark=id.30j0zll" w:id="0"/>
    <w:bookmarkEnd w:id="0"/>
    <w:p w:rsidR="00000000" w:rsidDel="00000000" w:rsidP="00000000" w:rsidRDefault="00000000" w:rsidRPr="00000000" w14:paraId="00000004">
      <w:pPr>
        <w:spacing w:after="200" w:line="276" w:lineRule="auto"/>
        <w:ind w:left="0" w:firstLine="0"/>
        <w:jc w:val="left"/>
        <w:rPr>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240" w:lineRule="auto"/>
        <w:ind w:left="0" w:hanging="567"/>
        <w:rPr>
          <w:b w:val="1"/>
          <w:color w:val="000000"/>
          <w:sz w:val="36"/>
          <w:szCs w:val="36"/>
        </w:rPr>
      </w:pPr>
      <w:r w:rsidDel="00000000" w:rsidR="00000000" w:rsidRPr="00000000">
        <w:rPr>
          <w:b w:val="1"/>
          <w:color w:val="000000"/>
          <w:sz w:val="36"/>
          <w:szCs w:val="36"/>
          <w:rtl w:val="0"/>
        </w:rPr>
        <w:t xml:space="preserve">Part A: Short Form Security Requirements</w:t>
      </w:r>
    </w:p>
    <w:p w:rsidR="00000000" w:rsidDel="00000000" w:rsidP="00000000" w:rsidRDefault="00000000" w:rsidRPr="00000000" w14:paraId="00000006">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7">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502"/>
        <w:gridCol w:w="5732"/>
        <w:tblGridChange w:id="0">
          <w:tblGrid>
            <w:gridCol w:w="2502"/>
            <w:gridCol w:w="5732"/>
          </w:tblGrid>
        </w:tblGridChange>
      </w:tblGrid>
      <w:t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shd w:fill="auto" w:val="clear"/>
          </w:tcPr>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occurrence of:</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Policy where the Buyer has required compliance therewith in accordance with paragraph 2.2;</w:t>
            </w:r>
          </w:p>
        </w:tc>
      </w:tr>
      <w:t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Management Plan" </w:t>
            </w:r>
          </w:p>
        </w:tc>
        <w:tc>
          <w:tcPr>
            <w:shd w:fill="auto" w:val="clear"/>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pos="-179"/>
              </w:tabs>
              <w:spacing w:after="120" w:lineRule="auto"/>
              <w:ind w:left="170" w:hanging="170"/>
              <w:jc w:val="left"/>
              <w:rPr>
                <w:color w:val="000000"/>
                <w:sz w:val="24"/>
                <w:szCs w:val="24"/>
              </w:rPr>
            </w:pPr>
            <w:r w:rsidDel="00000000" w:rsidR="00000000" w:rsidRPr="00000000">
              <w:rPr>
                <w:color w:val="000000"/>
                <w:sz w:val="24"/>
                <w:szCs w:val="24"/>
                <w:rtl w:val="0"/>
              </w:rPr>
              <w:t xml:space="preserve">the Supplier's security management plan prepared pursuant to this Schedule, a draft of which has been provided by the Supplier to the Buyer and as updated from time to time.</w:t>
            </w:r>
          </w:p>
        </w:tc>
      </w:tr>
    </w:tbl>
    <w:p w:rsidR="00000000" w:rsidDel="00000000" w:rsidP="00000000" w:rsidRDefault="00000000" w:rsidRPr="00000000" w14:paraId="0000000F">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security requirements and updates to them</w:t>
      </w:r>
      <w:r w:rsidDel="00000000" w:rsidR="00000000" w:rsidRPr="00000000">
        <w:rPr>
          <w:rtl w:val="0"/>
        </w:rPr>
      </w:r>
    </w:p>
    <w:p w:rsidR="00000000" w:rsidDel="00000000" w:rsidP="00000000" w:rsidRDefault="00000000" w:rsidRPr="00000000" w14:paraId="00000010">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1">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12">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Where the Security Policy applies the Buyer shall notify the Supplier of any changes or proposed changes to the Security Policy.</w:t>
      </w:r>
    </w:p>
    <w:p w:rsidR="00000000" w:rsidDel="00000000" w:rsidP="00000000" w:rsidRDefault="00000000" w:rsidRPr="00000000" w14:paraId="00000013">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5">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Standards</w:t>
      </w:r>
      <w:r w:rsidDel="00000000" w:rsidR="00000000" w:rsidRPr="00000000">
        <w:rPr>
          <w:rtl w:val="0"/>
        </w:rPr>
      </w:r>
    </w:p>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7">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bookmarkStart w:colFirst="0" w:colLast="0" w:name="_heading=h.1fob9te" w:id="2"/>
      <w:bookmarkEnd w:id="2"/>
      <w:r w:rsidDel="00000000" w:rsidR="00000000" w:rsidRPr="00000000">
        <w:rPr>
          <w:color w:val="000000"/>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is in accordance with the Law and this Contract; </w:t>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1A">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Deliverables and/or the Government Data; and</w:t>
      </w:r>
    </w:p>
    <w:p w:rsidR="00000000" w:rsidDel="00000000" w:rsidP="00000000" w:rsidRDefault="00000000" w:rsidRPr="00000000" w14:paraId="0000001B">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where specified by the Buyer in accordance with paragraph 2.2 complies with the Buyers Security Policy and the ICT Policy.</w:t>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E">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S</w:t>
      </w:r>
      <w:r w:rsidDel="00000000" w:rsidR="00000000" w:rsidRPr="00000000">
        <w:rPr>
          <w:rFonts w:ascii="Arial Bold" w:cs="Arial Bold" w:eastAsia="Arial Bold" w:hAnsi="Arial Bold"/>
          <w:b w:val="1"/>
          <w:color w:val="000000"/>
          <w:sz w:val="24"/>
          <w:szCs w:val="24"/>
          <w:rtl w:val="0"/>
        </w:rPr>
        <w:t xml:space="preserve">ecurity Management Plan</w:t>
      </w:r>
      <w:r w:rsidDel="00000000" w:rsidR="00000000" w:rsidRPr="00000000">
        <w:rPr>
          <w:rtl w:val="0"/>
        </w:rPr>
      </w:r>
    </w:p>
    <w:p w:rsidR="00000000" w:rsidDel="00000000" w:rsidP="00000000" w:rsidRDefault="00000000" w:rsidRPr="00000000" w14:paraId="0000001F">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3znysh7" w:id="3"/>
      <w:bookmarkEnd w:id="3"/>
      <w:r w:rsidDel="00000000" w:rsidR="00000000" w:rsidRPr="00000000">
        <w:rPr>
          <w:b w:val="1"/>
          <w:color w:val="000000"/>
          <w:sz w:val="24"/>
          <w:szCs w:val="24"/>
          <w:rtl w:val="0"/>
        </w:rPr>
        <w:t xml:space="preserve">Introduction</w:t>
      </w:r>
    </w:p>
    <w:p w:rsidR="00000000" w:rsidDel="00000000" w:rsidP="00000000" w:rsidRDefault="00000000" w:rsidRPr="00000000" w14:paraId="00000020">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et92p0" w:id="4"/>
      <w:bookmarkEnd w:id="4"/>
      <w:r w:rsidDel="00000000" w:rsidR="00000000" w:rsidRPr="00000000">
        <w:rPr>
          <w:color w:val="000000"/>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21">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tyjcwt" w:id="5"/>
      <w:bookmarkEnd w:id="5"/>
      <w:r w:rsidDel="00000000" w:rsidR="00000000" w:rsidRPr="00000000">
        <w:rPr>
          <w:b w:val="1"/>
          <w:color w:val="000000"/>
          <w:sz w:val="24"/>
          <w:szCs w:val="24"/>
          <w:rtl w:val="0"/>
        </w:rPr>
        <w:t xml:space="preserve">Content of the Security Management Plan</w:t>
      </w:r>
    </w:p>
    <w:p w:rsidR="00000000" w:rsidDel="00000000" w:rsidP="00000000" w:rsidRDefault="00000000" w:rsidRPr="00000000" w14:paraId="00000022">
      <w:pPr>
        <w:keepNext w:val="1"/>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dy6vkm" w:id="6"/>
      <w:bookmarkEnd w:id="6"/>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23">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comply with the principles of security set out in Paragraph 3 and any other provisions of this Contract relevant to security;</w:t>
      </w:r>
    </w:p>
    <w:p w:rsidR="00000000" w:rsidDel="00000000" w:rsidP="00000000" w:rsidRDefault="00000000" w:rsidRPr="00000000" w14:paraId="00000024">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identify the necessary delegated organisational roles for those responsible for ensuring it is complied with by the Supplier;</w:t>
      </w:r>
    </w:p>
    <w:p w:rsidR="00000000" w:rsidDel="00000000" w:rsidP="00000000" w:rsidRDefault="00000000" w:rsidRPr="00000000" w14:paraId="00000025">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6">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7">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8">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1t3h5sf" w:id="7"/>
      <w:bookmarkEnd w:id="7"/>
      <w:r w:rsidDel="00000000" w:rsidR="00000000" w:rsidRPr="00000000">
        <w:rPr>
          <w:color w:val="000000"/>
          <w:sz w:val="24"/>
          <w:szCs w:val="24"/>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9">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4d34og8" w:id="8"/>
      <w:bookmarkEnd w:id="8"/>
      <w:r w:rsidDel="00000000" w:rsidR="00000000" w:rsidRPr="00000000">
        <w:rPr>
          <w:color w:val="000000"/>
          <w:sz w:val="24"/>
          <w:szCs w:val="24"/>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A">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2s8eyo1" w:id="9"/>
      <w:bookmarkEnd w:id="9"/>
      <w:r w:rsidDel="00000000" w:rsidR="00000000" w:rsidRPr="00000000">
        <w:rPr>
          <w:b w:val="1"/>
          <w:color w:val="000000"/>
          <w:sz w:val="24"/>
          <w:szCs w:val="24"/>
          <w:rtl w:val="0"/>
        </w:rPr>
        <w:t xml:space="preserve">Development of the Security Management Plan</w:t>
      </w:r>
    </w:p>
    <w:p w:rsidR="00000000" w:rsidDel="00000000" w:rsidP="00000000" w:rsidRDefault="00000000" w:rsidRPr="00000000" w14:paraId="0000002B">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7dp8vu" w:id="10"/>
      <w:bookmarkEnd w:id="10"/>
      <w:r w:rsidDel="00000000" w:rsidR="00000000" w:rsidRPr="00000000">
        <w:rPr>
          <w:color w:val="000000"/>
          <w:sz w:val="24"/>
          <w:szCs w:val="24"/>
          <w:rtl w:val="0"/>
        </w:rPr>
        <w:t xml:space="preserve">Within twenty (20)</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0000" w:rsidDel="00000000" w:rsidP="00000000" w:rsidRDefault="00000000" w:rsidRPr="00000000" w14:paraId="0000002C">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rdcrjn" w:id="11"/>
      <w:bookmarkEnd w:id="11"/>
      <w:r w:rsidDel="00000000" w:rsidR="00000000" w:rsidRPr="00000000">
        <w:rPr>
          <w:color w:val="000000"/>
          <w:sz w:val="24"/>
          <w:szCs w:val="24"/>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D">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6in1rg" w:id="12"/>
      <w:bookmarkEnd w:id="12"/>
      <w:r w:rsidDel="00000000" w:rsidR="00000000" w:rsidRPr="00000000">
        <w:rPr>
          <w:color w:val="000000"/>
          <w:sz w:val="24"/>
          <w:szCs w:val="24"/>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E">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F">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lnxbz9" w:id="13"/>
      <w:bookmarkEnd w:id="13"/>
      <w:r w:rsidDel="00000000" w:rsidR="00000000" w:rsidRPr="00000000">
        <w:rPr>
          <w:b w:val="1"/>
          <w:color w:val="000000"/>
          <w:sz w:val="24"/>
          <w:szCs w:val="24"/>
          <w:rtl w:val="0"/>
        </w:rPr>
        <w:t xml:space="preserve">Amendment of the Security Management Plan</w:t>
      </w:r>
    </w:p>
    <w:p w:rsidR="00000000" w:rsidDel="00000000" w:rsidP="00000000" w:rsidRDefault="00000000" w:rsidRPr="00000000" w14:paraId="00000030">
      <w:pPr>
        <w:keepNext w:val="1"/>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5nkun2" w:id="14"/>
      <w:bookmarkEnd w:id="14"/>
      <w:r w:rsidDel="00000000" w:rsidR="00000000" w:rsidRPr="00000000">
        <w:rPr>
          <w:color w:val="000000"/>
          <w:sz w:val="24"/>
          <w:szCs w:val="24"/>
          <w:rtl w:val="0"/>
        </w:rPr>
        <w:t xml:space="preserve">The Security Management Plan shall be fully reviewed and updated by the Supplier at least annually to reflect:</w:t>
      </w:r>
    </w:p>
    <w:p w:rsidR="00000000" w:rsidDel="00000000" w:rsidP="00000000" w:rsidRDefault="00000000" w:rsidRPr="00000000" w14:paraId="00000031">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32">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change or proposed change to the Deliverables and/or associated processes; </w:t>
      </w:r>
    </w:p>
    <w:p w:rsidR="00000000" w:rsidDel="00000000" w:rsidP="00000000" w:rsidRDefault="00000000" w:rsidRPr="00000000" w14:paraId="00000033">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where necessary in accordance with paragraph 2.2, any change to the Security Policy; </w:t>
      </w:r>
    </w:p>
    <w:p w:rsidR="00000000" w:rsidDel="00000000" w:rsidP="00000000" w:rsidRDefault="00000000" w:rsidRPr="00000000" w14:paraId="00000034">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35">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reasonable change in requirements requested by the Buyer.</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ksv4uv" w:id="15"/>
      <w:bookmarkEnd w:id="15"/>
      <w:r w:rsidDel="00000000" w:rsidR="00000000" w:rsidRPr="00000000">
        <w:rPr>
          <w:color w:val="000000"/>
          <w:sz w:val="24"/>
          <w:szCs w:val="24"/>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7">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to the effectiveness of the Security Management Plan;</w:t>
      </w:r>
    </w:p>
    <w:p w:rsidR="00000000" w:rsidDel="00000000" w:rsidP="00000000" w:rsidRDefault="00000000" w:rsidRPr="00000000" w14:paraId="00000038">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updates to the risk assessments; and</w:t>
      </w:r>
    </w:p>
    <w:p w:rsidR="00000000" w:rsidDel="00000000" w:rsidP="00000000" w:rsidRDefault="00000000" w:rsidRPr="00000000" w14:paraId="00000039">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3A">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44sinio" w:id="16"/>
      <w:bookmarkEnd w:id="16"/>
      <w:r w:rsidDel="00000000" w:rsidR="00000000" w:rsidRPr="00000000">
        <w:rPr>
          <w:color w:val="000000"/>
          <w:sz w:val="24"/>
          <w:szCs w:val="24"/>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B">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jxsxqh" w:id="17"/>
      <w:bookmarkEnd w:id="17"/>
      <w:r w:rsidDel="00000000" w:rsidR="00000000" w:rsidRPr="00000000">
        <w:rPr>
          <w:color w:val="000000"/>
          <w:sz w:val="24"/>
          <w:szCs w:val="24"/>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C">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z337ya" w:id="18"/>
      <w:bookmarkEnd w:id="18"/>
      <w:r w:rsidDel="00000000" w:rsidR="00000000" w:rsidRPr="00000000">
        <w:rPr>
          <w:color w:val="000000"/>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E">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j2qqm3" w:id="19"/>
      <w:bookmarkEnd w:id="19"/>
      <w:r w:rsidDel="00000000" w:rsidR="00000000" w:rsidRPr="00000000">
        <w:rPr>
          <w:color w:val="000000"/>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y810tw" w:id="20"/>
      <w:bookmarkEnd w:id="20"/>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40">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w:t>
      </w:r>
    </w:p>
    <w:p w:rsidR="00000000" w:rsidDel="00000000" w:rsidP="00000000" w:rsidRDefault="00000000" w:rsidRPr="00000000" w14:paraId="00000041">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42">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an equivalent breach in the future exploiting the same cause failure; and</w:t>
      </w:r>
    </w:p>
    <w:p w:rsidR="00000000" w:rsidDel="00000000" w:rsidP="00000000" w:rsidRDefault="00000000" w:rsidRPr="00000000" w14:paraId="00000043">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5">
      <w:pPr>
        <w:ind w:left="0" w:firstLine="0"/>
        <w:jc w:val="left"/>
        <w:rPr>
          <w:b w:val="1"/>
          <w:smallCaps w:val="1"/>
          <w:sz w:val="24"/>
          <w:szCs w:val="24"/>
        </w:rPr>
      </w:pPr>
      <w:r w:rsidDel="00000000" w:rsidR="00000000" w:rsidRPr="00000000">
        <w:rPr>
          <w:b w:val="1"/>
          <w:smallCaps w:val="1"/>
          <w:sz w:val="24"/>
          <w:szCs w:val="24"/>
          <w:rtl w:val="0"/>
        </w:rPr>
        <w:t xml:space="preserve"> </w:t>
      </w:r>
    </w:p>
    <w:p w:rsidR="00000000" w:rsidDel="00000000" w:rsidP="00000000" w:rsidRDefault="00000000" w:rsidRPr="00000000" w14:paraId="00000046">
      <w:pPr>
        <w:spacing w:after="200" w:line="276" w:lineRule="auto"/>
        <w:ind w:left="0" w:firstLine="0"/>
        <w:jc w:val="left"/>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36"/>
          <w:szCs w:val="36"/>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48">
      <w:pPr>
        <w:ind w:firstLine="1418"/>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4A">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2"/>
        <w:tblW w:w="8031.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50"/>
        <w:gridCol w:w="5781"/>
        <w:tblGridChange w:id="0">
          <w:tblGrid>
            <w:gridCol w:w="2250"/>
            <w:gridCol w:w="5781"/>
          </w:tblGrid>
        </w:tblGridChange>
      </w:tblGrid>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means the occurrence of:</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requirements in the Security Policy where the Buyer has required compliance therewith in accordance with paragraph 3.4.3 d;</w:t>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"ISMS"</w:t>
            </w:r>
          </w:p>
        </w:tc>
        <w:tc>
          <w:tcPr/>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information security management system and process developed by the Supplier in accordance with Paragraph 3 (ISMS) as updated from time to time in accordance with this Schedule; and</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Tests"</w:t>
            </w:r>
          </w:p>
        </w:tc>
        <w:tc>
          <w:tcPr/>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54">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4i7ojhp" w:id="21"/>
      <w:bookmarkEnd w:id="21"/>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55">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57">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58">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2xcytpi" w:id="22"/>
      <w:bookmarkEnd w:id="22"/>
      <w:r w:rsidDel="00000000" w:rsidR="00000000" w:rsidRPr="00000000">
        <w:rPr>
          <w:color w:val="000000"/>
          <w:sz w:val="24"/>
          <w:szCs w:val="24"/>
          <w:highlight w:val="yellow"/>
          <w:rtl w:val="0"/>
        </w:rPr>
        <w:t xml:space="preserve">[insert security representative of the Buyer]</w:t>
      </w:r>
      <w:r w:rsidDel="00000000" w:rsidR="00000000" w:rsidRPr="00000000">
        <w:rPr>
          <w:rtl w:val="0"/>
        </w:rPr>
      </w:r>
    </w:p>
    <w:p w:rsidR="00000000" w:rsidDel="00000000" w:rsidP="00000000" w:rsidRDefault="00000000" w:rsidRPr="00000000" w14:paraId="00000059">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ci93xb" w:id="23"/>
      <w:bookmarkEnd w:id="23"/>
      <w:r w:rsidDel="00000000" w:rsidR="00000000" w:rsidRPr="00000000">
        <w:rPr>
          <w:color w:val="000000"/>
          <w:sz w:val="24"/>
          <w:szCs w:val="24"/>
          <w:highlight w:val="yellow"/>
          <w:rtl w:val="0"/>
        </w:rPr>
        <w:t xml:space="preserve">[insert security representative of the Supplier]</w:t>
      </w:r>
      <w:r w:rsidDel="00000000" w:rsidR="00000000" w:rsidRPr="00000000">
        <w:rPr>
          <w:rtl w:val="0"/>
        </w:rPr>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5F">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3whwml4" w:id="24"/>
      <w:bookmarkEnd w:id="24"/>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bn6wsx" w:id="25"/>
      <w:bookmarkEnd w:id="25"/>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63">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64">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65">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qsh70q" w:id="26"/>
      <w:bookmarkEnd w:id="26"/>
      <w:r w:rsidDel="00000000" w:rsidR="00000000" w:rsidRPr="00000000">
        <w:rPr>
          <w:color w:val="000000"/>
          <w:sz w:val="24"/>
          <w:szCs w:val="24"/>
          <w:rtl w:val="0"/>
        </w:rPr>
        <w:t xml:space="preserve">The ISMS shall:</w:t>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67">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69">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6A">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6B">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6C">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6D">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6E">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6F">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70">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71">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72">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73">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74">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bookmarkStart w:colFirst="0" w:colLast="0" w:name="_heading=h.3as4poj" w:id="27"/>
      <w:bookmarkEnd w:id="27"/>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75">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pxezwc" w:id="28"/>
      <w:bookmarkEnd w:id="28"/>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78">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9x2ik5" w:id="29"/>
      <w:bookmarkEnd w:id="29"/>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7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7A">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p2csry" w:id="30"/>
      <w:bookmarkEnd w:id="30"/>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7C">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47n2zr" w:id="31"/>
      <w:bookmarkEnd w:id="31"/>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7D">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7E">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7F">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80">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81">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82">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83">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84">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85">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86">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87">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88">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o7alnk" w:id="32"/>
      <w:bookmarkEnd w:id="32"/>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8A">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8B">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3ckvvd" w:id="33"/>
      <w:bookmarkEnd w:id="33"/>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8C">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8D">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8E">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8F">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required in accordance with paragraph 3.4.3 d, any changes to the Security Policy;</w:t>
      </w:r>
    </w:p>
    <w:p w:rsidR="00000000" w:rsidDel="00000000" w:rsidP="00000000" w:rsidRDefault="00000000" w:rsidRPr="00000000" w14:paraId="00000090">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91">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9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ihv636" w:id="34"/>
      <w:bookmarkEnd w:id="34"/>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93">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94">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95">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96">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9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2hioqz" w:id="35"/>
      <w:bookmarkEnd w:id="35"/>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98">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hmsyys" w:id="36"/>
      <w:bookmarkEnd w:id="36"/>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99">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9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1mghml" w:id="37"/>
      <w:bookmarkEnd w:id="37"/>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9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grqrue" w:id="38"/>
      <w:bookmarkEnd w:id="38"/>
      <w:r w:rsidDel="00000000" w:rsidR="00000000" w:rsidRPr="00000000">
        <w:rPr>
          <w:color w:val="000000"/>
          <w:sz w:val="24"/>
          <w:szCs w:val="24"/>
          <w:rtl w:val="0"/>
        </w:rPr>
        <w:t xml:space="preserve">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9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vx1227" w:id="39"/>
      <w:bookmarkEnd w:id="39"/>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fwokq0" w:id="40"/>
      <w:bookmarkEnd w:id="40"/>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9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9F">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A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A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v1yuxt" w:id="41"/>
      <w:bookmarkEnd w:id="41"/>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A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A3">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A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f1mdlm" w:id="42"/>
      <w:bookmarkEnd w:id="42"/>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A5">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A6">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A7">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A8">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A9">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AA">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AB">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AC">
      <w:pPr>
        <w:numPr>
          <w:ilvl w:val="3"/>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A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AE">
      <w:pPr>
        <w:keepNext w:val="1"/>
        <w:numPr>
          <w:ilvl w:val="0"/>
          <w:numId w:val="2"/>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AF">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B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B1">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B2">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B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rPr>
          <w:color w:val="000000"/>
          <w:sz w:val="24"/>
          <w:szCs w:val="24"/>
        </w:rPr>
      </w:pPr>
      <w:bookmarkStart w:colFirst="0" w:colLast="0" w:name="_heading=h.2u6wntf" w:id="43"/>
      <w:bookmarkEnd w:id="43"/>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B4">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B5">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B6">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B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B8">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B9">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BA">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BB">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BC">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BD">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BE">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BF">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C0">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C1">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C2">
      <w:pPr>
        <w:numPr>
          <w:ilvl w:val="2"/>
          <w:numId w:val="2"/>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C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C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bookmarkStart w:colFirst="0" w:colLast="0" w:name="_heading=h.19c6y18" w:id="45"/>
      <w:bookmarkEnd w:id="45"/>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w:t>
      </w:r>
      <w:bookmarkStart w:colFirst="0" w:colLast="0" w:name="bookmark=id.3tbugp1" w:id="44"/>
      <w:bookmarkEnd w:id="44"/>
      <w:r w:rsidDel="00000000" w:rsidR="00000000" w:rsidRPr="00000000">
        <w:rPr>
          <w:rFonts w:ascii="Arial Bold" w:cs="Arial Bold" w:eastAsia="Arial Bold" w:hAnsi="Arial Bold"/>
          <w:b w:val="1"/>
          <w:color w:val="000000"/>
          <w:sz w:val="36"/>
          <w:szCs w:val="36"/>
          <w:rtl w:val="0"/>
        </w:rPr>
        <w:t xml:space="preserve">nnex 1: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8">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C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CA">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C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C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CD">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C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CF">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D0">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D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D2">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D3">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D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D5">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D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D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D8">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D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DA">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DB">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D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D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D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DF">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E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E1">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E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E3">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bookmarkStart w:colFirst="0" w:colLast="0" w:name="_heading=h.28h4qwu" w:id="46"/>
      <w:bookmarkEnd w:id="46"/>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E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E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E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E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E8">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47"/>
  <w:bookmarkEnd w:id="47"/>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sz w:val="20"/>
        <w:szCs w:val="20"/>
        <w:rtl w:val="0"/>
      </w:rPr>
      <w:t xml:space="preserve"> </w:t>
    </w:r>
    <w:r w:rsidDel="00000000" w:rsidR="00000000" w:rsidRPr="00000000">
      <w:rPr>
        <w:color w:val="000000"/>
        <w:sz w:val="20"/>
        <w:szCs w:val="20"/>
        <w:rtl w:val="0"/>
      </w:rPr>
      <w:t xml:space="preserve">Framework Ref: 6194</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000000"/>
        <w:sz w:val="20"/>
        <w:szCs w:val="20"/>
      </w:rPr>
    </w:pPr>
    <w:r w:rsidDel="00000000" w:rsidR="00000000" w:rsidRPr="00000000">
      <w:rPr>
        <w:sz w:val="20"/>
        <w:szCs w:val="20"/>
        <w:rtl w:val="0"/>
      </w:rPr>
      <w:t xml:space="preserve"> </w:t>
    </w:r>
    <w:r w:rsidDel="00000000" w:rsidR="00000000" w:rsidRPr="00000000">
      <w:rPr>
        <w:color w:val="000000"/>
        <w:sz w:val="20"/>
        <w:szCs w:val="20"/>
        <w:rtl w:val="0"/>
      </w:rPr>
      <w:t xml:space="preserve">Project Version: v1.0</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Rule="auto"/>
      <w:ind w:left="0" w:hanging="1418"/>
      <w:jc w:val="left"/>
      <w:rPr>
        <w:color w:val="a6a6a6"/>
        <w:sz w:val="20"/>
        <w:szCs w:val="20"/>
      </w:rPr>
    </w:pPr>
    <w:bookmarkStart w:colFirst="0" w:colLast="0" w:name="_heading=h.37m2jsg" w:id="48"/>
    <w:bookmarkEnd w:id="48"/>
    <w:r w:rsidDel="00000000" w:rsidR="00000000" w:rsidRPr="00000000">
      <w:rPr>
        <w:sz w:val="20"/>
        <w:szCs w:val="20"/>
        <w:rtl w:val="0"/>
      </w:rPr>
      <w:t xml:space="preserve"> </w:t>
    </w:r>
    <w:r w:rsidDel="00000000" w:rsidR="00000000" w:rsidRPr="00000000">
      <w:rPr>
        <w:color w:val="000000"/>
        <w:sz w:val="20"/>
        <w:szCs w:val="20"/>
        <w:rtl w:val="0"/>
      </w:rPr>
      <w:t xml:space="preserve">Model Version: v</w:t>
    </w:r>
    <w:r w:rsidDel="00000000" w:rsidR="00000000" w:rsidRPr="00000000">
      <w:rPr>
        <w:sz w:val="20"/>
        <w:szCs w:val="20"/>
        <w:rtl w:val="0"/>
      </w:rPr>
      <w:t xml:space="preserve">3.4</w:t>
    </w:r>
    <w:r w:rsidDel="00000000" w:rsidR="00000000" w:rsidRPr="00000000">
      <w:rPr>
        <w:color w:val="000000"/>
        <w:sz w:val="20"/>
        <w:szCs w:val="20"/>
        <w:rtl w:val="0"/>
      </w:rPr>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pos="4513"/>
        <w:tab w:val="right"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tabs>
        <w:tab w:val="center" w:pos="4513"/>
        <w:tab w:val="right" w:pos="9026"/>
      </w:tabs>
      <w:spacing w:after="0" w:lineRule="auto"/>
      <w:ind w:left="0" w:firstLine="0"/>
      <w:rPr>
        <w:b w:val="1"/>
        <w:sz w:val="20"/>
        <w:szCs w:val="20"/>
      </w:rPr>
    </w:pPr>
    <w:r w:rsidDel="00000000" w:rsidR="00000000" w:rsidRPr="00000000">
      <w:rPr>
        <w:b w:val="1"/>
        <w:sz w:val="20"/>
        <w:szCs w:val="20"/>
        <w:rtl w:val="0"/>
      </w:rPr>
      <w:t xml:space="preserve">Call-Off Schedule 9 (Security)</w:t>
    </w:r>
  </w:p>
  <w:p w:rsidR="00000000" w:rsidDel="00000000" w:rsidP="00000000" w:rsidRDefault="00000000" w:rsidRPr="00000000" w14:paraId="000000F1">
    <w:pPr>
      <w:tabs>
        <w:tab w:val="center" w:pos="4513"/>
        <w:tab w:val="right" w:pos="9026"/>
      </w:tabs>
      <w:spacing w:after="0" w:lineRule="auto"/>
      <w:ind w:left="0" w:firstLine="0"/>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F2">
    <w:pPr>
      <w:tabs>
        <w:tab w:val="center" w:pos="4513"/>
        <w:tab w:val="right" w:pos="9026"/>
      </w:tabs>
      <w:spacing w:after="0" w:lineRule="auto"/>
      <w:ind w:left="0" w:firstLine="0"/>
      <w:rPr>
        <w:sz w:val="20"/>
        <w:szCs w:val="20"/>
      </w:rPr>
    </w:pPr>
    <w:r w:rsidDel="00000000" w:rsidR="00000000" w:rsidRPr="00000000">
      <w:rPr>
        <w:sz w:val="20"/>
        <w:szCs w:val="20"/>
        <w:rtl w:val="0"/>
      </w:rPr>
      <w:t xml:space="preserve">Crown Copyright 2020</w:t>
    </w:r>
  </w:p>
  <w:p w:rsidR="00000000" w:rsidDel="00000000" w:rsidP="00000000" w:rsidRDefault="00000000" w:rsidRPr="00000000" w14:paraId="000000F3">
    <w:pPr>
      <w:tabs>
        <w:tab w:val="center" w:pos="4513"/>
        <w:tab w:val="right" w:pos="9026"/>
      </w:tabs>
      <w:spacing w:after="0" w:lineRule="auto"/>
      <w:ind w:left="0" w:firstLine="0"/>
      <w:rPr>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3">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170"/>
      <w:jc w:val="left"/>
    </w:pPr>
    <w:rPr>
      <w:b w:val="1"/>
      <w:sz w:val="20"/>
      <w:szCs w:val="20"/>
    </w:rPr>
  </w:style>
  <w:style w:type="paragraph" w:styleId="Heading2">
    <w:name w:val="heading 2"/>
    <w:basedOn w:val="Normal"/>
    <w:next w:val="Normal"/>
    <w:pPr>
      <w:keepNext w:val="1"/>
      <w:keepLines w:val="1"/>
      <w:spacing w:after="0" w:before="240" w:lineRule="auto"/>
      <w:ind w:left="0" w:hanging="360"/>
      <w:jc w:val="left"/>
    </w:pPr>
    <w:rPr>
      <w:b w:val="1"/>
      <w:sz w:val="20"/>
      <w:szCs w:val="20"/>
    </w:rPr>
  </w:style>
  <w:style w:type="paragraph" w:styleId="Heading3">
    <w:name w:val="heading 3"/>
    <w:basedOn w:val="Normal"/>
    <w:next w:val="Normal"/>
    <w:pPr>
      <w:keepNext w:val="1"/>
      <w:keepLines w:val="1"/>
      <w:spacing w:after="0" w:before="200" w:lineRule="auto"/>
      <w:ind w:left="1080" w:hanging="36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1440" w:hanging="36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val="1"/>
    <w:rsid w:val="00D3427F"/>
    <w:pPr>
      <w:keepNext w:val="1"/>
      <w:keepLines w:val="1"/>
      <w:numPr>
        <w:numId w:val="4"/>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4"/>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4"/>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4"/>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4"/>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4"/>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4"/>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jc w:val="center"/>
      <w:outlineLvl w:val="1"/>
    </w:pPr>
    <w:rPr>
      <w:rFonts w:ascii="Calibri"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eastAsia="Times New Roman"/>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pPr>
      <w:keepNext w:val="1"/>
      <w:keepLines w:val="1"/>
      <w:spacing w:after="80" w:before="360"/>
      <w:ind w:left="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paragraph" w:styleId="FFWLevel2" w:customStyle="1">
    <w:name w:val="FFW Level 2"/>
    <w:basedOn w:val="Normal"/>
    <w:uiPriority w:val="4"/>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Level3" w:customStyle="1">
    <w:name w:val="FFW Level 3"/>
    <w:basedOn w:val="Normal"/>
    <w:uiPriority w:val="4"/>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Level4" w:customStyle="1">
    <w:name w:val="FFW Level 4"/>
    <w:basedOn w:val="Normal"/>
    <w:uiPriority w:val="5"/>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Level5" w:customStyle="1">
    <w:name w:val="FFW Level 5"/>
    <w:basedOn w:val="Normal"/>
    <w:uiPriority w:val="5"/>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Level6" w:customStyle="1">
    <w:name w:val="FFW Level 6"/>
    <w:basedOn w:val="Normal"/>
    <w:uiPriority w:val="5"/>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ManualNumber1" w:customStyle="1">
    <w:name w:val="FFW Manual Number 1"/>
    <w:basedOn w:val="Normal"/>
    <w:uiPriority w:val="9"/>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ManualNumber2" w:customStyle="1">
    <w:name w:val="FFW Manual Number 2"/>
    <w:basedOn w:val="Normal"/>
    <w:uiPriority w:val="9"/>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ManualNumber3" w:customStyle="1">
    <w:name w:val="FFW Manual Number 3"/>
    <w:basedOn w:val="Normal"/>
    <w:uiPriority w:val="9"/>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ManualNumber4" w:customStyle="1">
    <w:name w:val="FFW Manual Number 4"/>
    <w:basedOn w:val="Normal"/>
    <w:uiPriority w:val="9"/>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ManualNumber5" w:customStyle="1">
    <w:name w:val="FFW Manual Number 5"/>
    <w:basedOn w:val="Normal"/>
    <w:uiPriority w:val="9"/>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ManualNumber6" w:customStyle="1">
    <w:name w:val="FFW Manual Number 6"/>
    <w:basedOn w:val="Normal"/>
    <w:uiPriority w:val="9"/>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NumberedList" w:customStyle="1">
    <w:name w:val="FFW Numb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style>
  <w:style w:type="numbering" w:styleId="NumbListBullet" w:customStyle="1">
    <w:name w:val="NumbList Bullet"/>
    <w:uiPriority w:val="99"/>
    <w:rsid w:val="00D3427F"/>
  </w:style>
  <w:style w:type="numbering" w:styleId="NumbListLegal" w:customStyle="1">
    <w:name w:val="NumbList Legal"/>
    <w:uiPriority w:val="99"/>
    <w:rsid w:val="00D3427F"/>
  </w:style>
  <w:style w:type="numbering" w:styleId="NumbListLetteredLists" w:customStyle="1">
    <w:name w:val="NumbList LetteredLists"/>
    <w:uiPriority w:val="99"/>
    <w:rsid w:val="00D3427F"/>
  </w:style>
  <w:style w:type="numbering" w:styleId="NumbListManualNumbers" w:customStyle="1">
    <w:name w:val="NumbList ManualNumbers"/>
    <w:uiPriority w:val="99"/>
    <w:rsid w:val="00D3427F"/>
  </w:style>
  <w:style w:type="numbering" w:styleId="NumbListNumberedLists" w:customStyle="1">
    <w:name w:val="NumbList NumberedLists"/>
    <w:uiPriority w:val="99"/>
    <w:rsid w:val="00D3427F"/>
  </w:style>
  <w:style w:type="paragraph" w:styleId="FFWParties" w:customStyle="1">
    <w:name w:val="FFW Parties"/>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Parties" w:customStyle="1">
    <w:name w:val="NumbList Parties"/>
    <w:uiPriority w:val="99"/>
    <w:rsid w:val="00D3427F"/>
  </w:style>
  <w:style w:type="paragraph" w:styleId="FFWUCLetteredList" w:customStyle="1">
    <w:name w:val="FFW UC Lettered List"/>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tabs>
        <w:tab w:val="num" w:pos="1440"/>
      </w:tabs>
      <w:overflowPunct w:val="1"/>
      <w:autoSpaceDE w:val="1"/>
      <w:autoSpaceDN w:val="1"/>
      <w:adjustRightInd w:val="1"/>
      <w:spacing w:after="0" w:before="240" w:line="260" w:lineRule="atLeast"/>
      <w:ind w:left="1440" w:hanging="720"/>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17"/>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17"/>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style>
  <w:style w:type="numbering" w:styleId="NumbListRecitials" w:customStyle="1">
    <w:name w:val="NumbList Recitials"/>
    <w:uiPriority w:val="99"/>
    <w:rsid w:val="00D3427F"/>
  </w:style>
  <w:style w:type="paragraph" w:styleId="FFWDefinition" w:customStyle="1">
    <w:name w:val="FFW Definition"/>
    <w:basedOn w:val="Normal"/>
    <w:uiPriority w:val="13"/>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Appendix" w:customStyle="1">
    <w:name w:val="Appendix"/>
    <w:basedOn w:val="Normal"/>
    <w:uiPriority w:val="39"/>
    <w:semiHidden w:val="1"/>
    <w:qFormat w:val="1"/>
    <w:rsid w:val="00D3427F"/>
    <w:pPr>
      <w:tabs>
        <w:tab w:val="num" w:pos="1440"/>
      </w:tabs>
      <w:overflowPunct w:val="1"/>
      <w:autoSpaceDE w:val="1"/>
      <w:autoSpaceDN w:val="1"/>
      <w:adjustRightInd w:val="1"/>
      <w:spacing w:after="0" w:before="240" w:line="260" w:lineRule="atLeast"/>
      <w:ind w:left="1440" w:hanging="720"/>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numbering" w:styleId="NumbListDefinitions" w:customStyle="1">
    <w:name w:val="NumbList Definitions"/>
    <w:uiPriority w:val="99"/>
    <w:rsid w:val="00D3427F"/>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numbering" w:styleId="NumbListAnnex" w:customStyle="1">
    <w:name w:val="NumbList Annex"/>
    <w:uiPriority w:val="99"/>
    <w:rsid w:val="00D3427F"/>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RomanList" w:customStyle="1">
    <w:name w:val="NumbList RomanList"/>
    <w:uiPriority w:val="99"/>
    <w:rsid w:val="00D3427F"/>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style>
  <w:style w:type="numbering" w:styleId="1ai">
    <w:name w:val="Outline List 1"/>
    <w:basedOn w:val="NoList"/>
    <w:uiPriority w:val="99"/>
    <w:semiHidden w:val="1"/>
    <w:unhideWhenUsed w:val="1"/>
    <w:rsid w:val="00D3427F"/>
  </w:style>
  <w:style w:type="numbering" w:styleId="ArticleSection">
    <w:name w:val="Outline List 3"/>
    <w:basedOn w:val="NoList"/>
    <w:uiPriority w:val="99"/>
    <w:semiHidden w:val="1"/>
    <w:unhideWhenUsed w:val="1"/>
    <w:rsid w:val="00D3427F"/>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pPr>
    <w:rPr>
      <w:color w:val="000000" w:themeColor="text1" w:themeShade="0000BF"/>
      <w:sz w:val="20"/>
      <w:szCs w:val="2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pPr>
    <w:rPr>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pPr>
    <w:rPr>
      <w:color w:val="943634" w:themeColor="accent2" w:themeShade="0000BF"/>
      <w:sz w:val="20"/>
      <w:szCs w:val="20"/>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pPr>
    <w:rPr>
      <w:color w:val="76923c" w:themeColor="accent3" w:themeShade="0000BF"/>
      <w:sz w:val="20"/>
      <w:szCs w:val="20"/>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pPr>
    <w:rPr>
      <w:color w:val="5f497a" w:themeColor="accent4" w:themeShade="0000BF"/>
      <w:sz w:val="20"/>
      <w:szCs w:val="20"/>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pPr>
    <w:rPr>
      <w:color w:val="31849b" w:themeColor="accent5" w:themeShade="0000BF"/>
      <w:sz w:val="20"/>
      <w:szCs w:val="20"/>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pPr>
    <w:rPr>
      <w:color w:val="e36c0a" w:themeColor="accent6" w:themeShade="0000BF"/>
      <w:sz w:val="20"/>
      <w:szCs w:val="20"/>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pPr>
    <w:rPr>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pPr>
    <w:rPr>
      <w:sz w:val="20"/>
      <w:szCs w:val="20"/>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pPr>
    <w:rPr>
      <w:sz w:val="20"/>
      <w:szCs w:val="20"/>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pPr>
    <w:rPr>
      <w:sz w:val="20"/>
      <w:szCs w:val="20"/>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pPr>
    <w:rPr>
      <w:color w:val="000080"/>
      <w:sz w:val="20"/>
      <w:szCs w:val="2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pPr>
    <w:rPr>
      <w:color w:val="ffffff"/>
      <w:sz w:val="20"/>
      <w:szCs w:val="20"/>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pPr>
    <w:rPr>
      <w:sz w:val="20"/>
      <w:szCs w:val="20"/>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pPr>
    <w:rPr>
      <w:sz w:val="20"/>
      <w:szCs w:val="20"/>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pPr>
    <w:rPr>
      <w:b w:val="1"/>
      <w:bCs w:val="1"/>
      <w:sz w:val="20"/>
      <w:szCs w:val="20"/>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pPr>
    <w:rPr>
      <w:sz w:val="20"/>
      <w:szCs w:val="20"/>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pPr>
    <w:rPr>
      <w:sz w:val="20"/>
      <w:szCs w:val="20"/>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pPr>
    <w:rPr>
      <w:color w:val="000000"/>
      <w:sz w:val="20"/>
      <w:szCs w:val="20"/>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pPr>
    <w:rPr>
      <w:sz w:val="20"/>
      <w:szCs w:val="20"/>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pPr>
    <w:rPr>
      <w:sz w:val="20"/>
      <w:szCs w:val="20"/>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pPr>
    <w:rPr>
      <w:sz w:val="20"/>
      <w:szCs w:val="20"/>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pPr>
    <w:rPr>
      <w:b w:val="1"/>
      <w:bCs w:val="1"/>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pPr>
    <w:rPr>
      <w:sz w:val="20"/>
      <w:szCs w:val="20"/>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pPr>
    <w:rPr>
      <w:color w:val="000000"/>
      <w:sz w:val="20"/>
      <w:szCs w:val="20"/>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pPr>
    <w:rPr>
      <w:sz w:val="20"/>
      <w:szCs w:val="20"/>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pPr>
    <w:rPr>
      <w:color w:val="000000"/>
      <w:sz w:val="20"/>
      <w:szCs w:val="20"/>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pPr>
    <w:rPr>
      <w:sz w:val="20"/>
      <w:szCs w:val="20"/>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pPr>
    <w:rPr>
      <w:color w:val="000000"/>
      <w:sz w:val="20"/>
      <w:szCs w:val="20"/>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pPr>
    <w:rPr>
      <w:color w:val="000000"/>
      <w:sz w:val="20"/>
      <w:szCs w:val="20"/>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pPr>
    <w:rPr>
      <w:color w:val="000000"/>
      <w:sz w:val="20"/>
      <w:szCs w:val="20"/>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pPr>
    <w:rPr>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pPr>
    <w:rPr>
      <w:sz w:val="20"/>
      <w:szCs w:val="20"/>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Jn1WLUoxWNpHrUjic7fCx9h4w==">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2019-08-08T10:07:00Z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