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1"/>
      <w:bookmarkEnd w:id="1"/>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Framework Schedule 7 (Call-Off Award Procedure</w:t>
      </w:r>
      <w:bookmarkStart w:colFirst="0" w:colLast="0" w:name="bookmark=id.30j0zll"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1: Order Procedure</w:t>
      </w:r>
    </w:p>
    <w:p w:rsidR="00000000" w:rsidDel="00000000" w:rsidP="00000000" w:rsidRDefault="00000000" w:rsidRPr="00000000" w14:paraId="00000003">
      <w:pPr>
        <w:keepNext w:val="1"/>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a Call-Off Contract is awarded</w:t>
      </w:r>
    </w:p>
    <w:p w:rsidR="00000000" w:rsidDel="00000000" w:rsidP="00000000" w:rsidRDefault="00000000" w:rsidRPr="00000000" w14:paraId="0000000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potential Buyer decides to source Deliverables through this Contract then it will award its Deliverables in accordance with the procedure in this Schedule and the requirements of the Regulations.</w:t>
      </w:r>
      <w:r w:rsidDel="00000000" w:rsidR="00000000" w:rsidRPr="00000000">
        <w:rPr>
          <w:rtl w:val="0"/>
        </w:rPr>
      </w:r>
    </w:p>
    <w:p w:rsidR="00000000" w:rsidDel="00000000" w:rsidP="00000000" w:rsidRDefault="00000000" w:rsidRPr="00000000" w14:paraId="00000005">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potential Buyer can determine that:</w:t>
      </w:r>
      <w:r w:rsidDel="00000000" w:rsidR="00000000" w:rsidRPr="00000000">
        <w:rPr>
          <w:rtl w:val="0"/>
        </w:rPr>
      </w:r>
    </w:p>
    <w:p w:rsidR="00000000" w:rsidDel="00000000" w:rsidP="00000000" w:rsidRDefault="00000000" w:rsidRPr="00000000" w14:paraId="00000006">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Deliverables can be met by the Suppliers’ catalogues and description of the Deliverables as set out in Framework Schedule 1 (Specification) and Framework Schedule 2 (Framework Tender); and</w:t>
      </w:r>
      <w:r w:rsidDel="00000000" w:rsidR="00000000" w:rsidRPr="00000000">
        <w:rPr>
          <w:rtl w:val="0"/>
        </w:rPr>
      </w:r>
    </w:p>
    <w:p w:rsidR="00000000" w:rsidDel="00000000" w:rsidP="00000000" w:rsidRDefault="00000000" w:rsidRPr="00000000" w14:paraId="00000007">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 terms of the proposed Call-Off Contract are laid down in this Contract and do not require amendment or any supplementary terms and conditions;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220" w:before="0" w:line="240" w:lineRule="auto"/>
        <w:ind w:left="93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then the Buyer may award a Call-Off Contract in accordance with the procedure set out in Paragraph 2 below.</w:t>
      </w:r>
    </w:p>
    <w:p w:rsidR="00000000" w:rsidDel="00000000" w:rsidP="00000000" w:rsidRDefault="00000000" w:rsidRPr="00000000" w14:paraId="00000009">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all of the terms of the proposed Call-Off Contract are not laid down in this Contract and the potential Buyer:</w:t>
      </w:r>
      <w:r w:rsidDel="00000000" w:rsidR="00000000" w:rsidRPr="00000000">
        <w:rPr>
          <w:rtl w:val="0"/>
        </w:rPr>
      </w:r>
    </w:p>
    <w:p w:rsidR="00000000" w:rsidDel="00000000" w:rsidP="00000000" w:rsidRDefault="00000000" w:rsidRPr="00000000" w14:paraId="0000000A">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requires the Supplier to develop proposals or a solution in respect of such Deliverables; and/or</w:t>
      </w:r>
      <w:r w:rsidDel="00000000" w:rsidR="00000000" w:rsidRPr="00000000">
        <w:rPr>
          <w:rtl w:val="0"/>
        </w:rPr>
      </w:r>
    </w:p>
    <w:p w:rsidR="00000000" w:rsidDel="00000000" w:rsidP="00000000" w:rsidRDefault="00000000" w:rsidRPr="00000000" w14:paraId="0000000B">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needs to amend or refine the terms of the Framework Contract to reflect its Deliverables to the extent permitted by and in accordance with the Regulations;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22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then the Buyer may award a Call-Off Contract in accordance with the Further Competition Procedure set out in Paragraph 3 below.</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220" w:before="0" w:line="240" w:lineRule="auto"/>
        <w:ind w:left="90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1.4 </w:t>
      </w:r>
      <w:r w:rsidDel="00000000" w:rsidR="00000000" w:rsidRPr="00000000">
        <w:rPr>
          <w:rFonts w:ascii="Arial" w:cs="Arial" w:eastAsia="Arial" w:hAnsi="Arial"/>
          <w:color w:val="202124"/>
          <w:sz w:val="24"/>
          <w:szCs w:val="24"/>
          <w:shd w:fill="f8f9fa" w:val="clear"/>
          <w:rtl w:val="0"/>
        </w:rPr>
        <w:t xml:space="preserve">All Call-Off Contracts must not exceed a maximum five year initial term with two optional one year extensions. There is no minimum contract length.</w:t>
      </w:r>
      <w:r w:rsidDel="00000000" w:rsidR="00000000" w:rsidRPr="00000000">
        <w:rPr>
          <w:rtl w:val="0"/>
        </w:rPr>
      </w:r>
    </w:p>
    <w:p w:rsidR="00000000" w:rsidDel="00000000" w:rsidP="00000000" w:rsidRDefault="00000000" w:rsidRPr="00000000" w14:paraId="0000000E">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a direct award works</w:t>
      </w:r>
    </w:p>
    <w:p w:rsidR="00000000" w:rsidDel="00000000" w:rsidP="00000000" w:rsidRDefault="00000000" w:rsidRPr="00000000" w14:paraId="0000000F">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1.2 above the Buyer awarding a Call-Off Contract under this Contract without holding a further competition shall:</w:t>
      </w:r>
      <w:r w:rsidDel="00000000" w:rsidR="00000000" w:rsidRPr="00000000">
        <w:rPr>
          <w:rtl w:val="0"/>
        </w:rPr>
      </w:r>
    </w:p>
    <w:p w:rsidR="00000000" w:rsidDel="00000000" w:rsidP="00000000" w:rsidRDefault="00000000" w:rsidRPr="00000000" w14:paraId="0000001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a clear Statement of Requirements;</w:t>
      </w:r>
      <w:r w:rsidDel="00000000" w:rsidR="00000000" w:rsidRPr="00000000">
        <w:rPr>
          <w:rtl w:val="0"/>
        </w:rPr>
      </w:r>
    </w:p>
    <w:p w:rsidR="00000000" w:rsidDel="00000000" w:rsidP="00000000" w:rsidRDefault="00000000" w:rsidRPr="00000000" w14:paraId="0000001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the direct award criteria to the Suppliers’ catalogues and description of the Deliverables as set out in Framework Schedule 1 (Specification) and Framework Schedule 2 (Framework Tender) for all Suppliers capable of meeting the Statement of Requirements in order to establish which Supplier provides the most economically advantageous solution; and</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basis set out above, award the Call-Off Contract with the successful Supplier in accordance with Paragraph 6 below.</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3641"/>
        </w:tabs>
        <w:spacing w:after="120" w:before="120" w:line="240" w:lineRule="auto"/>
        <w:ind w:left="198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a further competition works</w:t>
      </w:r>
    </w:p>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tabs>
          <w:tab w:val="left" w:pos="3054"/>
        </w:tabs>
        <w:spacing w:after="120" w:before="120" w:line="240" w:lineRule="auto"/>
        <w:ind w:left="1134" w:right="0" w:hanging="77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the Buyer has to do</w:t>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80" w:before="120" w:line="259"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applicable, the Buyer may use the following procedure to shortlist Suppliers before entering into a Further Competition Procedure: </w:t>
      </w:r>
      <w:r w:rsidDel="00000000" w:rsidR="00000000" w:rsidRPr="00000000">
        <w:rPr>
          <w:rtl w:val="0"/>
        </w:rPr>
      </w:r>
    </w:p>
    <w:p w:rsidR="00000000" w:rsidDel="00000000" w:rsidP="00000000" w:rsidRDefault="00000000" w:rsidRPr="00000000" w14:paraId="0000001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80" w:before="120" w:line="259" w:lineRule="auto"/>
        <w:ind w:left="2610"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Filters – The Buyer will produce a Supplier shortlist based on the Service Filters. </w:t>
      </w:r>
      <w:r w:rsidDel="00000000" w:rsidR="00000000" w:rsidRPr="00000000">
        <w:rPr>
          <w:rtl w:val="0"/>
        </w:rPr>
      </w:r>
    </w:p>
    <w:p w:rsidR="00000000" w:rsidDel="00000000" w:rsidP="00000000" w:rsidRDefault="00000000" w:rsidRPr="00000000" w14:paraId="0000001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80" w:before="120" w:line="259" w:lineRule="auto"/>
        <w:ind w:left="2610"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Expression Of Interest (EOI) – The Buyer may use an EOI process to produce a Supplier shortlist. The EOI may contain the following details but is not limited to: scope, scale, timescales, incumbent supplier, grades, payment terms, capacity and/or budget. </w:t>
      </w:r>
      <w:r w:rsidDel="00000000" w:rsidR="00000000" w:rsidRPr="00000000">
        <w:rPr>
          <w:rtl w:val="0"/>
        </w:rPr>
      </w:r>
    </w:p>
    <w:p w:rsidR="00000000" w:rsidDel="00000000" w:rsidP="00000000" w:rsidRDefault="00000000" w:rsidRPr="00000000" w14:paraId="0000001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80" w:before="120" w:line="259" w:lineRule="auto"/>
        <w:ind w:left="2610"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Filters and Expression of Interest – The Buyer may use both of the procedures detailed in paragraph 3.1.2 and 3.1.3. </w:t>
      </w:r>
      <w:r w:rsidDel="00000000" w:rsidR="00000000" w:rsidRPr="00000000">
        <w:rPr>
          <w:rtl w:val="0"/>
        </w:rPr>
      </w:r>
    </w:p>
    <w:p w:rsidR="00000000" w:rsidDel="00000000" w:rsidP="00000000" w:rsidRDefault="00000000" w:rsidRPr="00000000" w14:paraId="0000001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80" w:before="120" w:line="259" w:lineRule="auto"/>
        <w:ind w:left="2610"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Conference call – The Buyer may use this after the EOI. The Buyer will provide further information on its requirement and Suppliers may have the opportunity to raise queries. </w:t>
      </w:r>
      <w:r w:rsidDel="00000000" w:rsidR="00000000" w:rsidRPr="00000000">
        <w:rPr>
          <w:rtl w:val="0"/>
        </w:rPr>
      </w:r>
    </w:p>
    <w:p w:rsidR="00000000" w:rsidDel="00000000" w:rsidP="00000000" w:rsidRDefault="00000000" w:rsidRPr="00000000" w14:paraId="0000001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80" w:before="120" w:line="259" w:lineRule="auto"/>
        <w:ind w:left="2610"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Suppliers can deselect themselves through the process after the Service Filters and/or EOI and/or conference call. </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80" w:before="120" w:line="259"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does not respond to the EOI in accordance with any stated timescales they will not be invited to participate in the Further Competition Procedure. </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80" w:before="120" w:line="259"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is invited to the conference call and they do not attend they may not be invited to participate in the Further Competition Procedure. </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80" w:before="120" w:line="259"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reserves the right to add or change the Services Filters and the EOI template throughout the lifetime of the Framework Agreement. </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80" w:before="120" w:line="259"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update their Service Filters during the lifetime of the Framework Agreement subject to you providing a customer reference. </w:t>
      </w:r>
      <w:r w:rsidDel="00000000" w:rsidR="00000000" w:rsidRPr="00000000">
        <w:rPr>
          <w:rtl w:val="0"/>
        </w:rPr>
      </w:r>
    </w:p>
    <w:p w:rsidR="00000000" w:rsidDel="00000000" w:rsidP="00000000" w:rsidRDefault="00000000" w:rsidRPr="00000000" w14:paraId="00000020">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awarding a Call-Off Contract under this Contract through a Further Competition Procedure shall:</w:t>
      </w:r>
      <w:r w:rsidDel="00000000" w:rsidR="00000000" w:rsidRPr="00000000">
        <w:rPr>
          <w:rtl w:val="0"/>
        </w:rPr>
      </w:r>
    </w:p>
    <w:p w:rsidR="00000000" w:rsidDel="00000000" w:rsidP="00000000" w:rsidRDefault="00000000" w:rsidRPr="00000000" w14:paraId="0000002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a Statement of Requirements setting out its requirements for the Deliverables and identify the Suppliers capable of supplying the them;</w:t>
      </w:r>
      <w:r w:rsidDel="00000000" w:rsidR="00000000" w:rsidRPr="00000000">
        <w:rPr>
          <w:rtl w:val="0"/>
        </w:rPr>
      </w:r>
    </w:p>
    <w:p w:rsidR="00000000" w:rsidDel="00000000" w:rsidP="00000000" w:rsidRDefault="00000000" w:rsidRPr="00000000" w14:paraId="0000002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amend or refine the Deliverables to reflect its requirements by using the Order Form only to the extent permitted by and in accordance with the requirements of the Regulations;</w:t>
      </w:r>
      <w:r w:rsidDel="00000000" w:rsidR="00000000" w:rsidRPr="00000000">
        <w:rPr>
          <w:rtl w:val="0"/>
        </w:rPr>
      </w:r>
    </w:p>
    <w:p w:rsidR="00000000" w:rsidDel="00000000" w:rsidP="00000000" w:rsidRDefault="00000000" w:rsidRPr="00000000" w14:paraId="00000023">
      <w:pPr>
        <w:keepNext w:val="1"/>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invite tenders by conducting a Further Competition Procedure for its Deliverables in accordance with the Regulations and in particular:</w:t>
      </w:r>
      <w:r w:rsidDel="00000000" w:rsidR="00000000" w:rsidRPr="00000000">
        <w:rPr>
          <w:rtl w:val="0"/>
        </w:rPr>
      </w:r>
    </w:p>
    <w:p w:rsidR="00000000" w:rsidDel="00000000" w:rsidP="00000000" w:rsidRDefault="00000000" w:rsidRPr="00000000" w14:paraId="00000024">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Electronic Reverse Auction (as defined in Paragraph 7 below) is to be held, the Buyer shall notify the Suppliers identified in accordance with Paragraph 3.1.1 and shall conduct the Further Competition Procedure in accordance with the procedures set out in Paragraph 3; or</w:t>
      </w:r>
    </w:p>
    <w:p w:rsidR="00000000" w:rsidDel="00000000" w:rsidP="00000000" w:rsidRDefault="00000000" w:rsidRPr="00000000" w14:paraId="00000025">
      <w:pPr>
        <w:keepNext w:val="1"/>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Electronic Reverse Auction is not used, the Buyer shall:</w:t>
      </w:r>
    </w:p>
    <w:p w:rsidR="00000000" w:rsidDel="00000000" w:rsidP="00000000" w:rsidRDefault="00000000" w:rsidRPr="00000000" w14:paraId="00000026">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6238"/>
        </w:tabs>
        <w:spacing w:after="120" w:before="120" w:line="240" w:lineRule="auto"/>
        <w:ind w:left="3119"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invite the Suppliers identified in accordance with Paragraph 3.1.1 to submit a tender in writing for each proposed Call-Off Contract to be awarded by giving written notice by email to the relevant Supplier Representative of each Supplier;</w:t>
      </w:r>
    </w:p>
    <w:p w:rsidR="00000000" w:rsidDel="00000000" w:rsidP="00000000" w:rsidRDefault="00000000" w:rsidRPr="00000000" w14:paraId="00000027">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6238"/>
        </w:tabs>
        <w:spacing w:after="120" w:before="120" w:line="240" w:lineRule="auto"/>
        <w:ind w:left="3119"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a time limit for the receipt by it of the tenders which takes into account factors such as the complexity of the subject matter of the proposed Call-Off Contract and the time needed to submit tenders; and</w:t>
      </w:r>
    </w:p>
    <w:p w:rsidR="00000000" w:rsidDel="00000000" w:rsidP="00000000" w:rsidRDefault="00000000" w:rsidRPr="00000000" w14:paraId="00000028">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6238"/>
        </w:tabs>
        <w:spacing w:after="120" w:before="120" w:line="240" w:lineRule="auto"/>
        <w:ind w:left="3119"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each tender confidential until the time limit set out for the return of tenders has expired.</w:t>
      </w:r>
    </w:p>
    <w:p w:rsidR="00000000" w:rsidDel="00000000" w:rsidP="00000000" w:rsidRDefault="00000000" w:rsidRPr="00000000" w14:paraId="00000029">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the further competition award criteria to the Suppliers' compliant tenders submitted through the Further Competition Procedure as the basis of its decision to award a Call-Off Contract for its Deliverables;</w:t>
      </w:r>
      <w:r w:rsidDel="00000000" w:rsidR="00000000" w:rsidRPr="00000000">
        <w:rPr>
          <w:rtl w:val="0"/>
        </w:rPr>
      </w:r>
    </w:p>
    <w:p w:rsidR="00000000" w:rsidDel="00000000" w:rsidP="00000000" w:rsidRDefault="00000000" w:rsidRPr="00000000" w14:paraId="0000002A">
      <w:pPr>
        <w:keepNext w:val="1"/>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basis set out above, award its Call-Off Contract to the successful Supplier in accordance with Paragraph 6. The Call-Off Contract shall:</w:t>
      </w:r>
      <w:r w:rsidDel="00000000" w:rsidR="00000000" w:rsidRPr="00000000">
        <w:rPr>
          <w:rtl w:val="0"/>
        </w:rPr>
      </w:r>
    </w:p>
    <w:p w:rsidR="00000000" w:rsidDel="00000000" w:rsidP="00000000" w:rsidRDefault="00000000" w:rsidRPr="00000000" w14:paraId="0000002B">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the Deliverables;</w:t>
      </w:r>
    </w:p>
    <w:p w:rsidR="00000000" w:rsidDel="00000000" w:rsidP="00000000" w:rsidRDefault="00000000" w:rsidRPr="00000000" w14:paraId="0000002C">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the tender submitted by the successful Supplier;</w:t>
      </w:r>
    </w:p>
    <w:p w:rsidR="00000000" w:rsidDel="00000000" w:rsidP="00000000" w:rsidRDefault="00000000" w:rsidRPr="00000000" w14:paraId="0000002D">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the Charges payable for the Deliverables in accordance with the tender submitted by the successful Supplier; and</w:t>
      </w:r>
    </w:p>
    <w:p w:rsidR="00000000" w:rsidDel="00000000" w:rsidP="00000000" w:rsidRDefault="00000000" w:rsidRPr="00000000" w14:paraId="0000002E">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incorporate the terms [of the Order Form and Contract] (as may be amended or refined by the Buyer in accordance with Paragraph 3.1.2. above) applicable to the Deliverables,</w:t>
      </w:r>
    </w:p>
    <w:p w:rsidR="00000000" w:rsidDel="00000000" w:rsidP="00000000" w:rsidRDefault="00000000" w:rsidRPr="00000000" w14:paraId="0000002F">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unsuccessful Suppliers with written feedback in relation to the reasons why their tenders were unsuccessful.</w:t>
      </w:r>
      <w:r w:rsidDel="00000000" w:rsidR="00000000" w:rsidRPr="00000000">
        <w:rPr>
          <w:rtl w:val="0"/>
        </w:rPr>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tabs>
          <w:tab w:val="left" w:pos="305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the Supplier has to do</w:t>
      </w:r>
    </w:p>
    <w:p w:rsidR="00000000" w:rsidDel="00000000" w:rsidP="00000000" w:rsidRDefault="00000000" w:rsidRPr="00000000" w14:paraId="00000031">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b w:val="1"/>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in writing, by the time and date specified by the Buyer following an invitation to tender pursuant to Paragraph 3.1.3 above, provide CCS and the Buyer with either:</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641"/>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to the effect that it does not wish to tender in relation to the Deliverables; or</w:t>
      </w:r>
      <w:r w:rsidDel="00000000" w:rsidR="00000000" w:rsidRPr="00000000">
        <w:rPr>
          <w:rtl w:val="0"/>
        </w:rPr>
      </w:r>
    </w:p>
    <w:p w:rsidR="00000000" w:rsidDel="00000000" w:rsidP="00000000" w:rsidRDefault="00000000" w:rsidRPr="00000000" w14:paraId="00000034">
      <w:pPr>
        <w:keepNext w:val="1"/>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full details of its tender made in respect of the relevant Statement of Requirements. In the event that the Supplier submits such a tender, it should include, as a minimum:</w:t>
      </w:r>
      <w:r w:rsidDel="00000000" w:rsidR="00000000" w:rsidRPr="00000000">
        <w:rPr>
          <w:rtl w:val="0"/>
        </w:rPr>
      </w:r>
    </w:p>
    <w:p w:rsidR="00000000" w:rsidDel="00000000" w:rsidP="00000000" w:rsidRDefault="00000000" w:rsidRPr="00000000" w14:paraId="00000035">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email response subject line to comprise unique reference number and Supplier name, so as to clearly identify the Supplier;</w:t>
      </w:r>
    </w:p>
    <w:p w:rsidR="00000000" w:rsidDel="00000000" w:rsidP="00000000" w:rsidRDefault="00000000" w:rsidRPr="00000000" w14:paraId="00000036">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brief summary, in the email (followed by a confirmation letter), stating that the Supplier is bidding for the Statement of Requirements;</w:t>
      </w:r>
    </w:p>
    <w:p w:rsidR="00000000" w:rsidDel="00000000" w:rsidP="00000000" w:rsidRDefault="00000000" w:rsidRPr="00000000" w14:paraId="00000037">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proposal covering the Deliverables;</w:t>
      </w:r>
    </w:p>
    <w:p w:rsidR="00000000" w:rsidDel="00000000" w:rsidP="00000000" w:rsidRDefault="00000000" w:rsidRPr="00000000" w14:paraId="00000038">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CVs of key staff – as a minimum any lead consultant, with others, as considered appropriate along with required staff levels (if necessary); and</w:t>
      </w:r>
    </w:p>
    <w:p w:rsidR="00000000" w:rsidDel="00000000" w:rsidP="00000000" w:rsidRDefault="00000000" w:rsidRPr="00000000" w14:paraId="00000039">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confirmation of discounts applicable to the Deliverables, as referenced in Framework Schedule 3 (Framework Prices) (if applicable).</w:t>
      </w:r>
    </w:p>
    <w:p w:rsidR="00000000" w:rsidDel="00000000" w:rsidP="00000000" w:rsidRDefault="00000000" w:rsidRPr="00000000" w14:paraId="0000003A">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any prices submitted in relation to a Further Competition Procedure held pursuant to this Paragraph 3 shall be based on the charging structure and take into account any discount to which the Buyer may be entitled as set out in Framework Schedule 3 (Framework Prices).</w:t>
      </w:r>
      <w:r w:rsidDel="00000000" w:rsidR="00000000" w:rsidRPr="00000000">
        <w:rPr>
          <w:rtl w:val="0"/>
        </w:rPr>
      </w:r>
    </w:p>
    <w:p w:rsidR="00000000" w:rsidDel="00000000" w:rsidP="00000000" w:rsidRDefault="00000000" w:rsidRPr="00000000" w14:paraId="0000003B">
      <w:pPr>
        <w:keepNext w:val="1"/>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that:</w:t>
      </w:r>
      <w:r w:rsidDel="00000000" w:rsidR="00000000" w:rsidRPr="00000000">
        <w:rPr>
          <w:rtl w:val="0"/>
        </w:rPr>
      </w:r>
    </w:p>
    <w:p w:rsidR="00000000" w:rsidDel="00000000" w:rsidP="00000000" w:rsidRDefault="00000000" w:rsidRPr="00000000" w14:paraId="0000003C">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tenders submitted by the Supplier in relation to a Further Competition Procedure held pursuant to this Paragraph 3 shall remain open for acceptance by the Buyer for ninety (90) Working Days (or such other period specified in the invitation to tender issued by the Buyer in accordance with the Call-Off Procedure); and</w:t>
      </w:r>
    </w:p>
    <w:p w:rsidR="00000000" w:rsidDel="00000000" w:rsidP="00000000" w:rsidRDefault="00000000" w:rsidRPr="00000000" w14:paraId="0000003D">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rsidR="00000000" w:rsidDel="00000000" w:rsidP="00000000" w:rsidRDefault="00000000" w:rsidRPr="00000000" w14:paraId="0000003E">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6238"/>
        </w:tabs>
        <w:spacing w:after="120" w:before="120" w:line="240" w:lineRule="auto"/>
        <w:ind w:left="3119"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rsidR="00000000" w:rsidDel="00000000" w:rsidP="00000000" w:rsidRDefault="00000000" w:rsidRPr="00000000" w14:paraId="0000003F">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6238"/>
        </w:tabs>
        <w:spacing w:after="120" w:before="120" w:line="240" w:lineRule="auto"/>
        <w:ind w:left="3119"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into any arrangement or agreement with any other person that he or the other person(s) shall refrain from submitting a tender or as to the amount of any tenders to be submitted.</w:t>
      </w:r>
    </w:p>
    <w:p w:rsidR="00000000" w:rsidDel="00000000" w:rsidP="00000000" w:rsidRDefault="00000000" w:rsidRPr="00000000" w14:paraId="00000040">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No requirement to award</w:t>
      </w:r>
      <w:r w:rsidDel="00000000" w:rsidR="00000000" w:rsidRPr="00000000">
        <w:rPr>
          <w:rtl w:val="0"/>
        </w:rPr>
      </w:r>
    </w:p>
    <w:p w:rsidR="00000000" w:rsidDel="00000000" w:rsidP="00000000" w:rsidRDefault="00000000" w:rsidRPr="00000000" w14:paraId="00000041">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the fact that the Buyer has followed a procedure as set out above in Paragraph 2 or 3 (as applicable), the Supplier acknowledges and agrees that the Buyer shall be entitled at all times to decline to make an award for its Deliverables and that nothing in this Contract shall oblige the Buyer to award any Call-Off Contract.</w:t>
      </w:r>
      <w:r w:rsidDel="00000000" w:rsidR="00000000" w:rsidRPr="00000000">
        <w:rPr>
          <w:rtl w:val="0"/>
        </w:rPr>
      </w:r>
    </w:p>
    <w:p w:rsidR="00000000" w:rsidDel="00000000" w:rsidP="00000000" w:rsidRDefault="00000000" w:rsidRPr="00000000" w14:paraId="00000042">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Who is responsible for the award</w:t>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the Buyer is independently responsible for the conduct of its award of Call-Off Contracts under this Contract and that CCS is not responsible or accountable for and shall have no liability whatsoever, except where it is the Buyer, in relation to:</w:t>
      </w:r>
      <w:r w:rsidDel="00000000" w:rsidR="00000000" w:rsidRPr="00000000">
        <w:rPr>
          <w:rtl w:val="0"/>
        </w:rPr>
      </w:r>
    </w:p>
    <w:p w:rsidR="00000000" w:rsidDel="00000000" w:rsidP="00000000" w:rsidRDefault="00000000" w:rsidRPr="00000000" w14:paraId="00000044">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conduct of Buyer in relation to this Contract; or</w:t>
      </w:r>
      <w:r w:rsidDel="00000000" w:rsidR="00000000" w:rsidRPr="00000000">
        <w:rPr>
          <w:rtl w:val="0"/>
        </w:rPr>
      </w:r>
    </w:p>
    <w:p w:rsidR="00000000" w:rsidDel="00000000" w:rsidP="00000000" w:rsidRDefault="00000000" w:rsidRPr="00000000" w14:paraId="00000045">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performance or non-performance of any Call-Off Contracts between the Supplier and Buyer entered into pursuant to this Contract.</w:t>
      </w:r>
      <w:r w:rsidDel="00000000" w:rsidR="00000000" w:rsidRPr="00000000">
        <w:rPr>
          <w:rtl w:val="0"/>
        </w:rPr>
      </w:r>
    </w:p>
    <w:p w:rsidR="00000000" w:rsidDel="00000000" w:rsidP="00000000" w:rsidRDefault="00000000" w:rsidRPr="00000000" w14:paraId="00000046">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Awarding and creating a Call-Off Contract</w:t>
      </w:r>
      <w:r w:rsidDel="00000000" w:rsidR="00000000" w:rsidRPr="00000000">
        <w:rPr>
          <w:rtl w:val="0"/>
        </w:rPr>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Paragraphs 1 to 5 above and 7, a Buyer may award a Call-Off Contract with the Supplier by sending (including electronically) a signed order form substantially in the form (as may be amended or refined by the Buyer in accordance with Paragraph 3.1.2 above) of the Order Form Template set out in Framework Schedule 6 (Order Form Template and Call-Off Schedules).</w:t>
      </w:r>
      <w:r w:rsidDel="00000000" w:rsidR="00000000" w:rsidRPr="00000000">
        <w:rPr>
          <w:rtl w:val="0"/>
        </w:rPr>
      </w:r>
    </w:p>
    <w:p w:rsidR="00000000" w:rsidDel="00000000" w:rsidP="00000000" w:rsidRDefault="00000000" w:rsidRPr="00000000" w14:paraId="0000004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that any document or communication (including any document or communication in the apparent form of a Call-Off Contract) which is not as described in this Paragraph 6 shall not constitute a Call-Off Contract under this Contract.</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receipt of an order form as described in Paragraph 6.1 from a Buyer the Supplier shall accept the Call-Off Contract by promptly signing and returning (including by electronic means) a copy of the order form to the Buyer concerned.</w:t>
      </w:r>
      <w:r w:rsidDel="00000000" w:rsidR="00000000" w:rsidRPr="00000000">
        <w:rPr>
          <w:rtl w:val="0"/>
        </w:rPr>
      </w:r>
    </w:p>
    <w:p w:rsidR="00000000" w:rsidDel="00000000" w:rsidP="00000000" w:rsidRDefault="00000000" w:rsidRPr="00000000" w14:paraId="0000004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receipt of the countersigned Order Form from the Supplier, the Buyer shall send (including by electronic means) a written notice of receipt to the Supplier within two (2) Working Days and the Call Off Contract shall be formed with effect from the Call Off Start Date stated in the Order Form.</w:t>
      </w:r>
      <w:r w:rsidDel="00000000" w:rsidR="00000000" w:rsidRPr="00000000">
        <w:rPr>
          <w:rtl w:val="0"/>
        </w:rPr>
      </w:r>
    </w:p>
    <w:p w:rsidR="00000000" w:rsidDel="00000000" w:rsidP="00000000" w:rsidRDefault="00000000" w:rsidRPr="00000000" w14:paraId="0000004B">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e-auctions work</w:t>
      </w:r>
      <w:r w:rsidDel="00000000" w:rsidR="00000000" w:rsidRPr="00000000">
        <w:rPr>
          <w:rtl w:val="0"/>
        </w:rPr>
      </w:r>
    </w:p>
    <w:p w:rsidR="00000000" w:rsidDel="00000000" w:rsidP="00000000" w:rsidRDefault="00000000" w:rsidRPr="00000000" w14:paraId="0000004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to include a reverse auction in the Further Competition Procedure in accordance with the rules laid down by the Buyer and the Regulations.</w:t>
      </w:r>
      <w:r w:rsidDel="00000000" w:rsidR="00000000" w:rsidRPr="00000000">
        <w:rPr>
          <w:rtl w:val="0"/>
        </w:rPr>
      </w:r>
    </w:p>
    <w:p w:rsidR="00000000" w:rsidDel="00000000" w:rsidP="00000000" w:rsidRDefault="00000000" w:rsidRPr="00000000" w14:paraId="0000004D">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wishes to undertake an electronic reverse auction, where Suppliers compete in real time by bidding as the auction unfolds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"Electronic Reverse Auction"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then before undertaking it, the Buyer will make an initial full evaluation of all tenders received in response to its Statement of Requirements. The Buyer will then invite to the Electronic Reverse Auction only those tenders that are admissible in accordance with the Regulations. The invitation shall be accompanied by the outcome of the full initial evaluation of the relevant tenders.</w:t>
      </w:r>
      <w:r w:rsidDel="00000000" w:rsidR="00000000" w:rsidRPr="00000000">
        <w:rPr>
          <w:rtl w:val="0"/>
        </w:rPr>
      </w:r>
    </w:p>
    <w:p w:rsidR="00000000" w:rsidDel="00000000" w:rsidP="00000000" w:rsidRDefault="00000000" w:rsidRPr="00000000" w14:paraId="0000004E">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inform the Suppliers of the specification for the Electronic Reverse Auction which shall include:</w:t>
      </w:r>
      <w:r w:rsidDel="00000000" w:rsidR="00000000" w:rsidRPr="00000000">
        <w:rPr>
          <w:rtl w:val="0"/>
        </w:rPr>
      </w:r>
    </w:p>
    <w:p w:rsidR="00000000" w:rsidDel="00000000" w:rsidP="00000000" w:rsidRDefault="00000000" w:rsidRPr="00000000" w14:paraId="0000004F">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information to be provided at auction, which must be expressed in figures or percentages of the specified quantifiable features;</w:t>
      </w:r>
    </w:p>
    <w:p w:rsidR="00000000" w:rsidDel="00000000" w:rsidP="00000000" w:rsidRDefault="00000000" w:rsidRPr="00000000" w14:paraId="00000050">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mathematical formula to be used to determine automatic ranking of bids on the basis of new prices and/or new values submitted;  </w:t>
      </w:r>
    </w:p>
    <w:p w:rsidR="00000000" w:rsidDel="00000000" w:rsidP="00000000" w:rsidRDefault="00000000" w:rsidRPr="00000000" w14:paraId="00000051">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limits on the values which may be submitted;</w:t>
      </w:r>
    </w:p>
    <w:p w:rsidR="00000000" w:rsidDel="00000000" w:rsidP="00000000" w:rsidRDefault="00000000" w:rsidRPr="00000000" w14:paraId="00000052">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any information which will be made available to Suppliers in the course of the Electronic Reverse Auction, and when it will be made available to them;</w:t>
      </w:r>
    </w:p>
    <w:p w:rsidR="00000000" w:rsidDel="00000000" w:rsidP="00000000" w:rsidRDefault="00000000" w:rsidRPr="00000000" w14:paraId="00000053">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conditions under which Suppliers will be able to bid and, in particular, the minimum differences which will, where appropriate, be required when bidding;</w:t>
      </w:r>
    </w:p>
    <w:p w:rsidR="00000000" w:rsidDel="00000000" w:rsidP="00000000" w:rsidRDefault="00000000" w:rsidRPr="00000000" w14:paraId="00000054">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 information concerning the electronic equipment used and the arrangements and technical specification for connection;</w:t>
      </w:r>
    </w:p>
    <w:p w:rsidR="00000000" w:rsidDel="00000000" w:rsidP="00000000" w:rsidRDefault="00000000" w:rsidRPr="00000000" w14:paraId="00000055">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7.</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date and time of the start of the Electronic Reverse Auction; and</w:t>
      </w:r>
    </w:p>
    <w:p w:rsidR="00000000" w:rsidDel="00000000" w:rsidP="00000000" w:rsidRDefault="00000000" w:rsidRPr="00000000" w14:paraId="00000056">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when and how the Electronic Reverse Auction will close.</w:t>
      </w:r>
    </w:p>
    <w:p w:rsidR="00000000" w:rsidDel="00000000" w:rsidP="00000000" w:rsidRDefault="00000000" w:rsidRPr="00000000" w14:paraId="0000005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Electronic Reverse Auction may not start sooner than two (2) Working Days after the date on which the specification for the Electronic Reverse Auction has been issued.</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Throughout each phase of the Electronic Reverse Auction the Buyer will communicate to all Suppliers sufficient information to enable them to ascertain their relative ranking.</w:t>
      </w:r>
      <w:r w:rsidDel="00000000" w:rsidR="00000000" w:rsidRPr="00000000">
        <w:rPr>
          <w:rtl w:val="0"/>
        </w:rPr>
      </w:r>
    </w:p>
    <w:p w:rsidR="00000000" w:rsidDel="00000000" w:rsidP="00000000" w:rsidRDefault="00000000" w:rsidRPr="00000000" w14:paraId="00000059">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and agrees that:</w:t>
      </w:r>
      <w:r w:rsidDel="00000000" w:rsidR="00000000" w:rsidRPr="00000000">
        <w:rPr>
          <w:rtl w:val="0"/>
        </w:rPr>
      </w:r>
    </w:p>
    <w:p w:rsidR="00000000" w:rsidDel="00000000" w:rsidP="00000000" w:rsidRDefault="00000000" w:rsidRPr="00000000" w14:paraId="0000005A">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its officers, servants, agents, group companies, assignees and customers (including CCS) do not guarantee that its access to the Electronic Reverse Auction will be uninterrupted or error-free;</w:t>
      </w:r>
    </w:p>
    <w:p w:rsidR="00000000" w:rsidDel="00000000" w:rsidP="00000000" w:rsidRDefault="00000000" w:rsidRPr="00000000" w14:paraId="0000005B">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access to the Electronic Reverse Auction may occasionally be restricted to allow for repairs or maintenance; and</w:t>
      </w:r>
    </w:p>
    <w:p w:rsidR="00000000" w:rsidDel="00000000" w:rsidP="00000000" w:rsidRDefault="00000000" w:rsidRPr="00000000" w14:paraId="0000005C">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comply with all such rules that may be imposed by the Buyer in relation to the operation of the Electronic Reverse Auction.</w:t>
      </w:r>
    </w:p>
    <w:p w:rsidR="00000000" w:rsidDel="00000000" w:rsidP="00000000" w:rsidRDefault="00000000" w:rsidRPr="00000000" w14:paraId="0000005D">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close the Electronic Reverse Auction on the basis of:</w:t>
      </w:r>
      <w:r w:rsidDel="00000000" w:rsidR="00000000" w:rsidRPr="00000000">
        <w:rPr>
          <w:rtl w:val="0"/>
        </w:rPr>
      </w:r>
    </w:p>
    <w:p w:rsidR="00000000" w:rsidDel="00000000" w:rsidP="00000000" w:rsidRDefault="00000000" w:rsidRPr="00000000" w14:paraId="0000005E">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date and time fixed in advance;</w:t>
      </w:r>
    </w:p>
    <w:p w:rsidR="00000000" w:rsidDel="00000000" w:rsidP="00000000" w:rsidRDefault="00000000" w:rsidRPr="00000000" w14:paraId="0000005F">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no new prices or values meeting the minimum differences required pursuant to Paragraph 7.3 have been received within the prescribed elapsed time period; or</w:t>
      </w:r>
    </w:p>
    <w:p w:rsidR="00000000" w:rsidDel="00000000" w:rsidP="00000000" w:rsidRDefault="00000000" w:rsidRPr="00000000" w14:paraId="0000006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all the phases have been completed.]</w:t>
      </w:r>
      <w:r w:rsidDel="00000000" w:rsidR="00000000" w:rsidRPr="00000000">
        <w:rPr>
          <w:rtl w:val="0"/>
        </w:rPr>
      </w:r>
    </w:p>
    <w:p w:rsidR="00000000" w:rsidDel="00000000" w:rsidP="00000000" w:rsidRDefault="00000000" w:rsidRPr="00000000" w14:paraId="00000061">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Awarding and creating an Exempt Call-off Contract</w:t>
      </w:r>
    </w:p>
    <w:p w:rsidR="00000000" w:rsidDel="00000000" w:rsidP="00000000" w:rsidRDefault="00000000" w:rsidRPr="00000000" w14:paraId="00000062">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Paragraph 1 above shall not apply to an Exempt Buyer.</w:t>
      </w:r>
      <w:r w:rsidDel="00000000" w:rsidR="00000000" w:rsidRPr="00000000">
        <w:rPr>
          <w:rtl w:val="0"/>
        </w:rPr>
      </w:r>
    </w:p>
    <w:p w:rsidR="00000000" w:rsidDel="00000000" w:rsidP="00000000" w:rsidRDefault="00000000" w:rsidRPr="00000000" w14:paraId="00000063">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 potential Exempt Buyer decides to source Deliverables through this Framework Contract, it will award an Exempt Call-off Contract for Deliverables in accordance with the procedure in this Schedule as modified by this Paragraph 8 and in accordance with any legal requirements applicable to that potential Exempt Buyer.</w:t>
      </w:r>
      <w:r w:rsidDel="00000000" w:rsidR="00000000" w:rsidRPr="00000000">
        <w:rPr>
          <w:rtl w:val="0"/>
        </w:rPr>
      </w:r>
    </w:p>
    <w:p w:rsidR="00000000" w:rsidDel="00000000" w:rsidP="00000000" w:rsidRDefault="00000000" w:rsidRPr="00000000" w14:paraId="00000064">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potential Exempt Buyer may award an Exempt Call-off Contract under this Framework Contract without holding a further competition in accordance with Paragraph 2 above as modified by Paragraph 8.4 below or through a Further Competition Procedure in accordance with Paragraph 3 as modified by Paragraph 8.5 below.</w:t>
      </w:r>
      <w:r w:rsidDel="00000000" w:rsidR="00000000" w:rsidRPr="00000000">
        <w:rPr>
          <w:rtl w:val="0"/>
        </w:rPr>
      </w:r>
    </w:p>
    <w:p w:rsidR="00000000" w:rsidDel="00000000" w:rsidP="00000000" w:rsidRDefault="00000000" w:rsidRPr="00000000" w14:paraId="00000065">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the procedure set out in Paragraph 2 above, if the potential Exempt Buyer can determine that:</w:t>
      </w:r>
      <w:r w:rsidDel="00000000" w:rsidR="00000000" w:rsidRPr="00000000">
        <w:rPr>
          <w:rtl w:val="0"/>
        </w:rPr>
      </w:r>
    </w:p>
    <w:p w:rsidR="00000000" w:rsidDel="00000000" w:rsidP="00000000" w:rsidRDefault="00000000" w:rsidRPr="00000000" w14:paraId="00000066">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Deliverables can be met by the Supplier’s catalogues and description of the Deliverables as set out in Framework Schedule 1 (Specification) and Framework Schedule 2 (Framework Tender); and</w:t>
      </w:r>
      <w:r w:rsidDel="00000000" w:rsidR="00000000" w:rsidRPr="00000000">
        <w:rPr>
          <w:rtl w:val="0"/>
        </w:rPr>
      </w:r>
    </w:p>
    <w:p w:rsidR="00000000" w:rsidDel="00000000" w:rsidP="00000000" w:rsidRDefault="00000000" w:rsidRPr="00000000" w14:paraId="00000067">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accept any required Exempt Procurement Amendments,</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3641"/>
        </w:tabs>
        <w:spacing w:after="120" w:before="120" w:line="240" w:lineRule="auto"/>
        <w:ind w:left="18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then the Exempt Buyer may award an Exempt Call-off Contract to that Supplier in accordance with Paragraph 6 above.</w:t>
      </w:r>
    </w:p>
    <w:p w:rsidR="00000000" w:rsidDel="00000000" w:rsidP="00000000" w:rsidRDefault="00000000" w:rsidRPr="00000000" w14:paraId="00000069">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potential Exempt Buyer requires the Supplier to develop proposals or a solution in respect of Deliverables, then the potential Exempt Buyer may at its discretion use the procedure set out in Paragraph 3 above as modified by this Paragraph 8.5. In that case, references to “the Regulations” in Paragraph 3 above shall be read as references to “any legal requirements applicable to that potential Exempt Buyer”, and the Exempt Buyer shall be permitted to modify the Further Competition Procedure in accordance with any legal requirements applicable to the Exempt Buyer.</w:t>
      </w:r>
      <w:r w:rsidDel="00000000" w:rsidR="00000000" w:rsidRPr="00000000">
        <w:rPr>
          <w:rtl w:val="0"/>
        </w:rPr>
      </w:r>
    </w:p>
    <w:p w:rsidR="00000000" w:rsidDel="00000000" w:rsidP="00000000" w:rsidRDefault="00000000" w:rsidRPr="00000000" w14:paraId="0000006A">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Paragraphs 8.1 to 8.5 above are without prejudice to an Exempt Buyer’s ability to make such further modifications to the Call-Off Procedure as it considers necessary and in accordance with any legal requirements applicable to that potential Exempt Buyer.</w:t>
      </w:r>
      <w:r w:rsidDel="00000000" w:rsidR="00000000" w:rsidRPr="00000000">
        <w:rPr>
          <w:rtl w:val="0"/>
        </w:rPr>
      </w:r>
    </w:p>
    <w:p w:rsidR="00000000" w:rsidDel="00000000" w:rsidP="00000000" w:rsidRDefault="00000000" w:rsidRPr="00000000" w14:paraId="0000006B">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305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3054"/>
        </w:tabs>
        <w:spacing w:after="120" w:before="120" w:line="240" w:lineRule="auto"/>
        <w:ind w:left="936" w:right="0" w:hanging="576"/>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2: Award Criteria</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Part 2 lays out award criteria for direct award (Annex A) and for further competition (Annex B) in accordance with the Call-Off Procedure.</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Call-Off Contract may be awarded on the basis of most economically advantageous tender ("MEAT"). </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This Schedule includes details of the evaluation criteria and any weightings that will be applied to that criteria. Criteria applicable to a direct award are set out at Annex A to this Schedule, and criteria applicable to a Further Competition Procedure are set out in Annex B to this Schedule.</w:t>
      </w:r>
      <w:r w:rsidDel="00000000" w:rsidR="00000000" w:rsidRPr="00000000">
        <w:rPr>
          <w:rtl w:val="0"/>
        </w:rPr>
      </w:r>
    </w:p>
    <w:p w:rsidR="00000000" w:rsidDel="00000000" w:rsidP="00000000" w:rsidRDefault="00000000" w:rsidRPr="00000000" w14:paraId="00000071">
      <w:pPr>
        <w:rPr>
          <w:rFonts w:ascii="Arial" w:cs="Arial" w:eastAsia="Arial" w:hAnsi="Arial"/>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2">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426"/>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A: Direct award criteria</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criteria and weightings shall apply to the evaluation for direct award of each Call-Off.</w:t>
      </w:r>
    </w:p>
    <w:tbl>
      <w:tblPr>
        <w:tblStyle w:val="Table1"/>
        <w:tblW w:w="92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4"/>
        <w:gridCol w:w="5670"/>
        <w:tblGridChange w:id="0">
          <w:tblGrid>
            <w:gridCol w:w="3544"/>
            <w:gridCol w:w="5670"/>
          </w:tblGrid>
        </w:tblGridChange>
      </w:tblGrid>
      <w:tr>
        <w:tc>
          <w:tcPr>
            <w:shd w:fill="e7e6e6" w:val="clear"/>
          </w:tcPr>
          <w:p w:rsidR="00000000" w:rsidDel="00000000" w:rsidP="00000000" w:rsidRDefault="00000000" w:rsidRPr="00000000" w14:paraId="00000074">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Criteria </w:t>
            </w:r>
          </w:p>
        </w:tc>
        <w:tc>
          <w:tcPr>
            <w:shd w:fill="e7e6e6" w:val="clear"/>
          </w:tcPr>
          <w:p w:rsidR="00000000" w:rsidDel="00000000" w:rsidP="00000000" w:rsidRDefault="00000000" w:rsidRPr="00000000" w14:paraId="00000075">
            <w:pPr>
              <w:widowControl w:val="1"/>
              <w:spacing w:after="200" w:before="12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Relative weighting percentage </w:t>
            </w:r>
          </w:p>
          <w:p w:rsidR="00000000" w:rsidDel="00000000" w:rsidP="00000000" w:rsidRDefault="00000000" w:rsidRPr="00000000" w14:paraId="00000076">
            <w:pPr>
              <w:widowControl w:val="1"/>
              <w:spacing w:after="200" w:line="276"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To be set by the Buyer conducting the Direct Award</w:t>
            </w:r>
            <w:r w:rsidDel="00000000" w:rsidR="00000000" w:rsidRPr="00000000">
              <w:rPr>
                <w:rtl w:val="0"/>
              </w:rPr>
            </w:r>
          </w:p>
        </w:tc>
      </w:tr>
      <w:tr>
        <w:tc>
          <w:tcPr/>
          <w:p w:rsidR="00000000" w:rsidDel="00000000" w:rsidP="00000000" w:rsidRDefault="00000000" w:rsidRPr="00000000" w14:paraId="00000077">
            <w:pPr>
              <w:keepNext w:val="1"/>
              <w:widowControl w:val="1"/>
              <w:spacing w:after="120" w:before="240" w:lineRule="auto"/>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Price (life cycle costs, cost effectiveness &amp; price; price and running costs)</w:t>
            </w:r>
          </w:p>
        </w:tc>
        <w:tc>
          <w:tcPr/>
          <w:p w:rsidR="00000000" w:rsidDel="00000000" w:rsidP="00000000" w:rsidRDefault="00000000" w:rsidRPr="00000000" w14:paraId="00000078">
            <w:pPr>
              <w:keepNext w:val="1"/>
              <w:widowControl w:val="1"/>
              <w:spacing w:after="120" w:before="240" w:lineRule="auto"/>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30-60%</w:t>
            </w:r>
          </w:p>
        </w:tc>
      </w:tr>
      <w:tr>
        <w:tc>
          <w:tcPr/>
          <w:p w:rsidR="00000000" w:rsidDel="00000000" w:rsidP="00000000" w:rsidRDefault="00000000" w:rsidRPr="00000000" w14:paraId="00000079">
            <w:pPr>
              <w:keepNext w:val="1"/>
              <w:widowControl w:val="1"/>
              <w:spacing w:after="120" w:before="240" w:lineRule="auto"/>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Technical merit; coverage, network capacity and performance as specified in relevant service levels</w:t>
            </w:r>
          </w:p>
        </w:tc>
        <w:tc>
          <w:tcPr/>
          <w:p w:rsidR="00000000" w:rsidDel="00000000" w:rsidP="00000000" w:rsidRDefault="00000000" w:rsidRPr="00000000" w14:paraId="0000007A">
            <w:pPr>
              <w:keepNext w:val="1"/>
              <w:widowControl w:val="1"/>
              <w:spacing w:after="120" w:before="240" w:lineRule="auto"/>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w:t>
            </w:r>
          </w:p>
        </w:tc>
      </w:tr>
      <w:tr>
        <w:tc>
          <w:tcPr/>
          <w:p w:rsidR="00000000" w:rsidDel="00000000" w:rsidP="00000000" w:rsidRDefault="00000000" w:rsidRPr="00000000" w14:paraId="0000007B">
            <w:pPr>
              <w:keepNext w:val="1"/>
              <w:widowControl w:val="1"/>
              <w:spacing w:after="120" w:before="240" w:lineRule="auto"/>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Help desk, account management function and assurance of supply of a range of devices and good value accessories</w:t>
            </w:r>
          </w:p>
        </w:tc>
        <w:tc>
          <w:tcPr/>
          <w:p w:rsidR="00000000" w:rsidDel="00000000" w:rsidP="00000000" w:rsidRDefault="00000000" w:rsidRPr="00000000" w14:paraId="0000007C">
            <w:pPr>
              <w:keepNext w:val="1"/>
              <w:widowControl w:val="1"/>
              <w:spacing w:after="120" w:before="240" w:lineRule="auto"/>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w:t>
            </w:r>
          </w:p>
        </w:tc>
      </w:tr>
      <w:tr>
        <w:tc>
          <w:tcPr/>
          <w:p w:rsidR="00000000" w:rsidDel="00000000" w:rsidP="00000000" w:rsidRDefault="00000000" w:rsidRPr="00000000" w14:paraId="0000007D">
            <w:pPr>
              <w:keepNext w:val="1"/>
              <w:widowControl w:val="1"/>
              <w:spacing w:after="120" w:before="240" w:lineRule="auto"/>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Environmental characteristics</w:t>
            </w:r>
          </w:p>
        </w:tc>
        <w:tc>
          <w:tcPr/>
          <w:p w:rsidR="00000000" w:rsidDel="00000000" w:rsidP="00000000" w:rsidRDefault="00000000" w:rsidRPr="00000000" w14:paraId="0000007E">
            <w:pPr>
              <w:keepNext w:val="1"/>
              <w:widowControl w:val="1"/>
              <w:spacing w:after="120" w:before="240" w:lineRule="auto"/>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w:t>
            </w:r>
          </w:p>
        </w:tc>
      </w:tr>
      <w:tr>
        <w:tc>
          <w:tcPr/>
          <w:p w:rsidR="00000000" w:rsidDel="00000000" w:rsidP="00000000" w:rsidRDefault="00000000" w:rsidRPr="00000000" w14:paraId="0000007F">
            <w:pPr>
              <w:keepNext w:val="1"/>
              <w:widowControl w:val="1"/>
              <w:spacing w:after="120" w:before="240" w:lineRule="auto"/>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Quality (including delivery time, sales service, good value, accessories, service fitness for purpose)</w:t>
            </w:r>
          </w:p>
        </w:tc>
        <w:tc>
          <w:tcPr/>
          <w:p w:rsidR="00000000" w:rsidDel="00000000" w:rsidP="00000000" w:rsidRDefault="00000000" w:rsidRPr="00000000" w14:paraId="00000080">
            <w:pPr>
              <w:keepNext w:val="1"/>
              <w:widowControl w:val="1"/>
              <w:spacing w:after="120" w:before="240" w:lineRule="auto"/>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30-60%</w:t>
            </w:r>
          </w:p>
        </w:tc>
      </w:tr>
    </w:tb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B: Further Competition Award Criteria</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4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criteria and weightings </w:t>
      </w:r>
      <w:r w:rsidDel="00000000" w:rsidR="00000000" w:rsidRPr="00000000">
        <w:rPr>
          <w:rFonts w:ascii="Arial" w:cs="Arial" w:eastAsia="Arial" w:hAnsi="Arial"/>
          <w:sz w:val="24"/>
          <w:szCs w:val="24"/>
          <w:rtl w:val="0"/>
        </w:rPr>
        <w:t xml:space="preserve">shall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to the evaluation of tenders received through the Further Competition Procedure:</w:t>
      </w: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shd w:fill="e7e6e6" w:val="clear"/>
          </w:tcPr>
          <w:p w:rsidR="00000000" w:rsidDel="00000000" w:rsidP="00000000" w:rsidRDefault="00000000" w:rsidRPr="00000000" w14:paraId="00000084">
            <w:pPr>
              <w:widowControl w:val="1"/>
              <w:tabs>
                <w:tab w:val="left" w:pos="851"/>
              </w:tabs>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Criteria</w:t>
            </w:r>
            <w:r w:rsidDel="00000000" w:rsidR="00000000" w:rsidRPr="00000000">
              <w:rPr>
                <w:rtl w:val="0"/>
              </w:rPr>
            </w:r>
          </w:p>
        </w:tc>
        <w:tc>
          <w:tcPr>
            <w:shd w:fill="e7e6e6" w:val="clear"/>
          </w:tcPr>
          <w:p w:rsidR="00000000" w:rsidDel="00000000" w:rsidP="00000000" w:rsidRDefault="00000000" w:rsidRPr="00000000" w14:paraId="00000085">
            <w:pPr>
              <w:widowControl w:val="1"/>
              <w:spacing w:after="200" w:before="12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Relative weighting percentage </w:t>
            </w:r>
          </w:p>
          <w:p w:rsidR="00000000" w:rsidDel="00000000" w:rsidP="00000000" w:rsidRDefault="00000000" w:rsidRPr="00000000" w14:paraId="00000086">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be set by the Buyer conducting the further competition</w:t>
            </w:r>
          </w:p>
        </w:tc>
      </w:tr>
      <w:tr>
        <w:tc>
          <w:tcPr/>
          <w:p w:rsidR="00000000" w:rsidDel="00000000" w:rsidP="00000000" w:rsidRDefault="00000000" w:rsidRPr="00000000" w14:paraId="00000087">
            <w:pPr>
              <w:keepNext w:val="1"/>
              <w:widowControl w:val="1"/>
              <w:spacing w:after="120" w:before="120" w:lineRule="auto"/>
              <w:ind w:left="1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Quality</w:t>
            </w:r>
          </w:p>
          <w:p w:rsidR="00000000" w:rsidDel="00000000" w:rsidP="00000000" w:rsidRDefault="00000000" w:rsidRPr="00000000" w14:paraId="00000088">
            <w:pPr>
              <w:keepNext w:val="1"/>
              <w:widowControl w:val="1"/>
              <w:spacing w:after="120" w:before="240" w:lineRule="auto"/>
              <w:ind w:left="1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Which may consist of the following criteria:</w:t>
            </w:r>
          </w:p>
          <w:p w:rsidR="00000000" w:rsidDel="00000000" w:rsidP="00000000" w:rsidRDefault="00000000" w:rsidRPr="00000000" w14:paraId="00000089">
            <w:pPr>
              <w:keepNext w:val="1"/>
              <w:widowControl w:val="1"/>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Added Value / Innovation</w:t>
            </w:r>
          </w:p>
          <w:p w:rsidR="00000000" w:rsidDel="00000000" w:rsidP="00000000" w:rsidRDefault="00000000" w:rsidRPr="00000000" w14:paraId="0000008A">
            <w:pPr>
              <w:keepNext w:val="1"/>
              <w:widowControl w:val="1"/>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Approach To Delivery Of The Services</w:t>
            </w:r>
          </w:p>
          <w:p w:rsidR="00000000" w:rsidDel="00000000" w:rsidP="00000000" w:rsidRDefault="00000000" w:rsidRPr="00000000" w14:paraId="0000008B">
            <w:pPr>
              <w:keepNext w:val="1"/>
              <w:widowControl w:val="1"/>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Implementation</w:t>
            </w:r>
          </w:p>
          <w:p w:rsidR="00000000" w:rsidDel="00000000" w:rsidP="00000000" w:rsidRDefault="00000000" w:rsidRPr="00000000" w14:paraId="0000008C">
            <w:pPr>
              <w:keepNext w:val="1"/>
              <w:widowControl w:val="1"/>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Use Of Supply Chain / Partners</w:t>
            </w:r>
          </w:p>
        </w:tc>
        <w:tc>
          <w:tcPr/>
          <w:p w:rsidR="00000000" w:rsidDel="00000000" w:rsidP="00000000" w:rsidRDefault="00000000" w:rsidRPr="00000000" w14:paraId="0000008D">
            <w:pPr>
              <w:widowControl w:val="1"/>
              <w:tabs>
                <w:tab w:val="left" w:pos="851"/>
              </w:tabs>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30-60%</w:t>
            </w:r>
          </w:p>
        </w:tc>
      </w:tr>
      <w:tr>
        <w:tc>
          <w:tcPr/>
          <w:p w:rsidR="00000000" w:rsidDel="00000000" w:rsidP="00000000" w:rsidRDefault="00000000" w:rsidRPr="00000000" w14:paraId="0000008E">
            <w:pPr>
              <w:keepNext w:val="1"/>
              <w:widowControl w:val="1"/>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08F">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0 - 30% </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tl w:val="0"/>
              </w:rPr>
            </w:r>
          </w:p>
        </w:tc>
      </w:tr>
      <w:tr>
        <w:tc>
          <w:tcPr/>
          <w:p w:rsidR="00000000" w:rsidDel="00000000" w:rsidP="00000000" w:rsidRDefault="00000000" w:rsidRPr="00000000" w14:paraId="00000090">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effectiveness</w:t>
            </w:r>
          </w:p>
        </w:tc>
        <w:tc>
          <w:tcPr/>
          <w:p w:rsidR="00000000" w:rsidDel="00000000" w:rsidP="00000000" w:rsidRDefault="00000000" w:rsidRPr="00000000" w14:paraId="00000091">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w:t>
            </w:r>
          </w:p>
        </w:tc>
      </w:tr>
      <w:tr>
        <w:tc>
          <w:tcPr/>
          <w:p w:rsidR="00000000" w:rsidDel="00000000" w:rsidP="00000000" w:rsidRDefault="00000000" w:rsidRPr="00000000" w14:paraId="00000092">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Technical merit</w:t>
            </w:r>
          </w:p>
        </w:tc>
        <w:tc>
          <w:tcPr/>
          <w:p w:rsidR="00000000" w:rsidDel="00000000" w:rsidP="00000000" w:rsidRDefault="00000000" w:rsidRPr="00000000" w14:paraId="00000093">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w:t>
            </w:r>
          </w:p>
        </w:tc>
      </w:tr>
      <w:tr>
        <w:tc>
          <w:tcPr/>
          <w:p w:rsidR="00000000" w:rsidDel="00000000" w:rsidP="00000000" w:rsidRDefault="00000000" w:rsidRPr="00000000" w14:paraId="00000094">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Technical assistance</w:t>
            </w:r>
          </w:p>
        </w:tc>
        <w:tc>
          <w:tcPr/>
          <w:p w:rsidR="00000000" w:rsidDel="00000000" w:rsidP="00000000" w:rsidRDefault="00000000" w:rsidRPr="00000000" w14:paraId="00000095">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0-15%</w:t>
            </w:r>
          </w:p>
        </w:tc>
      </w:tr>
      <w:tr>
        <w:tc>
          <w:tcPr/>
          <w:p w:rsidR="00000000" w:rsidDel="00000000" w:rsidP="00000000" w:rsidRDefault="00000000" w:rsidRPr="00000000" w14:paraId="00000096">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sales service</w:t>
            </w:r>
          </w:p>
        </w:tc>
        <w:tc>
          <w:tcPr/>
          <w:p w:rsidR="00000000" w:rsidDel="00000000" w:rsidP="00000000" w:rsidRDefault="00000000" w:rsidRPr="00000000" w14:paraId="00000097">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w:t>
            </w:r>
          </w:p>
        </w:tc>
      </w:tr>
      <w:tr>
        <w:tc>
          <w:tcPr/>
          <w:p w:rsidR="00000000" w:rsidDel="00000000" w:rsidP="00000000" w:rsidRDefault="00000000" w:rsidRPr="00000000" w14:paraId="00000098">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Price</w:t>
            </w:r>
          </w:p>
        </w:tc>
        <w:tc>
          <w:tcPr/>
          <w:p w:rsidR="00000000" w:rsidDel="00000000" w:rsidP="00000000" w:rsidRDefault="00000000" w:rsidRPr="00000000" w14:paraId="00000099">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30-60%</w:t>
            </w:r>
          </w:p>
        </w:tc>
      </w:tr>
      <w:tr>
        <w:tc>
          <w:tcPr/>
          <w:p w:rsidR="00000000" w:rsidDel="00000000" w:rsidP="00000000" w:rsidRDefault="00000000" w:rsidRPr="00000000" w14:paraId="0000009A">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Aesthetic and functional characteristics</w:t>
            </w:r>
          </w:p>
        </w:tc>
        <w:tc>
          <w:tcPr/>
          <w:p w:rsidR="00000000" w:rsidDel="00000000" w:rsidP="00000000" w:rsidRDefault="00000000" w:rsidRPr="00000000" w14:paraId="0000009B">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w:t>
            </w:r>
          </w:p>
        </w:tc>
      </w:tr>
      <w:tr>
        <w:tc>
          <w:tcPr/>
          <w:p w:rsidR="00000000" w:rsidDel="00000000" w:rsidP="00000000" w:rsidRDefault="00000000" w:rsidRPr="00000000" w14:paraId="0000009C">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Running costs</w:t>
            </w:r>
          </w:p>
        </w:tc>
        <w:tc>
          <w:tcPr/>
          <w:p w:rsidR="00000000" w:rsidDel="00000000" w:rsidP="00000000" w:rsidRDefault="00000000" w:rsidRPr="00000000" w14:paraId="0000009D">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w:t>
            </w:r>
          </w:p>
        </w:tc>
      </w:tr>
      <w:tr>
        <w:tc>
          <w:tcPr/>
          <w:p w:rsidR="00000000" w:rsidDel="00000000" w:rsidP="00000000" w:rsidRDefault="00000000" w:rsidRPr="00000000" w14:paraId="0000009E">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Environmental characteristics</w:t>
            </w:r>
          </w:p>
        </w:tc>
        <w:tc>
          <w:tcPr/>
          <w:p w:rsidR="00000000" w:rsidDel="00000000" w:rsidP="00000000" w:rsidRDefault="00000000" w:rsidRPr="00000000" w14:paraId="0000009F">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w:t>
            </w:r>
          </w:p>
        </w:tc>
      </w:tr>
      <w:tr>
        <w:tc>
          <w:tcPr/>
          <w:p w:rsidR="00000000" w:rsidDel="00000000" w:rsidP="00000000" w:rsidRDefault="00000000" w:rsidRPr="00000000" w14:paraId="000000A0">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Delivery date and delivery period</w:t>
            </w:r>
          </w:p>
        </w:tc>
        <w:tc>
          <w:tcPr/>
          <w:p w:rsidR="00000000" w:rsidDel="00000000" w:rsidP="00000000" w:rsidRDefault="00000000" w:rsidRPr="00000000" w14:paraId="000000A1">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w:t>
            </w:r>
          </w:p>
        </w:tc>
      </w:tr>
      <w:tr>
        <w:tc>
          <w:tcPr/>
          <w:p w:rsidR="00000000" w:rsidDel="00000000" w:rsidP="00000000" w:rsidRDefault="00000000" w:rsidRPr="00000000" w14:paraId="000000A2">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Period of completion</w:t>
            </w:r>
          </w:p>
        </w:tc>
        <w:tc>
          <w:tcPr/>
          <w:p w:rsidR="00000000" w:rsidDel="00000000" w:rsidP="00000000" w:rsidRDefault="00000000" w:rsidRPr="00000000" w14:paraId="000000A3">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w:t>
            </w:r>
          </w:p>
        </w:tc>
      </w:tr>
    </w:tbl>
    <w:p w:rsidR="00000000" w:rsidDel="00000000" w:rsidP="00000000" w:rsidRDefault="00000000" w:rsidRPr="00000000" w14:paraId="000000A4">
      <w:pPr>
        <w:widowControl w:val="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tabs>
        <w:tab w:val="center" w:pos="4513"/>
        <w:tab w:val="right" w:pos="9026"/>
      </w:tabs>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r>
  </w:p>
  <w:p w:rsidR="00000000" w:rsidDel="00000000" w:rsidP="00000000" w:rsidRDefault="00000000" w:rsidRPr="00000000" w14:paraId="000000AF">
    <w:pPr>
      <w:tabs>
        <w:tab w:val="center" w:pos="4513"/>
        <w:tab w:val="right" w:pos="9026"/>
      </w:tabs>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tabs>
        <w:tab w:val="left" w:pos="720"/>
        <w:tab w:val="left" w:pos="1440"/>
        <w:tab w:val="left" w:pos="2160"/>
        <w:tab w:val="left" w:pos="2880"/>
        <w:tab w:val="left" w:pos="3600"/>
        <w:tab w:val="center" w:pos="4513"/>
      </w:tabs>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v3.0</w:t>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tabs>
        <w:tab w:val="center" w:pos="4513"/>
        <w:tab w:val="right" w:pos="9026"/>
      </w:tabs>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RM6194</w:t>
      <w:tab/>
      <w:t xml:space="preserve">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tabs>
        <w:tab w:val="left" w:pos="720"/>
        <w:tab w:val="left" w:pos="1440"/>
        <w:tab w:val="left" w:pos="2160"/>
        <w:tab w:val="left" w:pos="2880"/>
        <w:tab w:val="left" w:pos="3600"/>
        <w:tab w:val="center" w:pos="4513"/>
      </w:tabs>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v3.1</w:t>
      <w:tab/>
      <w:tab/>
      <w:tab/>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Please apply the relevant weighting for the call-off, as per PPN 06/20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Framework Schedule 7 (Call-Off Award Procedure)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 2018</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7 (Call-Off Award Procedure)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b w:val="0"/>
        <w:i w:val="0"/>
        <w:smallCaps w:val="0"/>
        <w:strike w:val="0"/>
        <w:color w:val="00000a"/>
        <w:sz w:val="24"/>
        <w:szCs w:val="24"/>
        <w:u w:val="none"/>
        <w:vertAlign w:val="baseline"/>
      </w:rPr>
    </w:lvl>
    <w:lvl w:ilvl="1">
      <w:start w:val="1"/>
      <w:numFmt w:val="decimal"/>
      <w:lvlText w:val="%1.%2"/>
      <w:lvlJc w:val="left"/>
      <w:pPr>
        <w:ind w:left="1800" w:hanging="360"/>
      </w:pPr>
      <w:rPr>
        <w:b w:val="0"/>
        <w:i w:val="0"/>
        <w:smallCaps w:val="0"/>
        <w:strike w:val="0"/>
        <w:color w:val="00000a"/>
        <w:sz w:val="22"/>
        <w:szCs w:val="22"/>
        <w:u w:val="none"/>
        <w:vertAlign w:val="baseline"/>
      </w:rPr>
    </w:lvl>
    <w:lvl w:ilvl="2">
      <w:start w:val="1"/>
      <w:numFmt w:val="decimal"/>
      <w:lvlText w:val="%1.%2.%3"/>
      <w:lvlJc w:val="left"/>
      <w:pPr>
        <w:ind w:left="3330" w:hanging="720"/>
      </w:pPr>
      <w:rPr>
        <w:b w:val="0"/>
        <w:i w:val="0"/>
        <w:smallCaps w:val="0"/>
        <w:strike w:val="0"/>
        <w:color w:val="00000a"/>
        <w:sz w:val="22"/>
        <w:szCs w:val="22"/>
        <w:u w:val="none"/>
        <w:vertAlign w:val="baseline"/>
      </w:rPr>
    </w:lvl>
    <w:lvl w:ilvl="3">
      <w:start w:val="1"/>
      <w:numFmt w:val="lowerLetter"/>
      <w:lvlText w:val="(%4)"/>
      <w:lvlJc w:val="left"/>
      <w:pPr>
        <w:ind w:left="3567" w:hanging="720"/>
      </w:pPr>
      <w:rPr>
        <w:b w:val="0"/>
        <w:i w:val="0"/>
        <w:smallCaps w:val="0"/>
        <w:strike w:val="0"/>
        <w:color w:val="00000a"/>
        <w:sz w:val="22"/>
        <w:szCs w:val="22"/>
        <w:u w:val="none"/>
        <w:vertAlign w:val="baseline"/>
      </w:rPr>
    </w:lvl>
    <w:lvl w:ilvl="4">
      <w:start w:val="1"/>
      <w:numFmt w:val="lowerRoman"/>
      <w:lvlText w:val="(%5)"/>
      <w:lvlJc w:val="left"/>
      <w:pPr>
        <w:ind w:left="2160" w:hanging="1080"/>
      </w:pPr>
      <w:rPr>
        <w:b w:val="0"/>
        <w:i w:val="0"/>
        <w:smallCaps w:val="0"/>
        <w:strike w:val="0"/>
        <w:color w:val="000000"/>
        <w:u w:val="none"/>
        <w:vertAlign w:val="baseline"/>
      </w:rPr>
    </w:lvl>
    <w:lvl w:ilvl="5">
      <w:start w:val="1"/>
      <w:numFmt w:val="upperLetter"/>
      <w:lvlText w:val="(%6)"/>
      <w:lvlJc w:val="left"/>
      <w:pPr>
        <w:ind w:left="2160" w:hanging="1080"/>
      </w:pPr>
      <w:rPr>
        <w:b w:val="0"/>
        <w:i w:val="0"/>
        <w:smallCaps w:val="0"/>
        <w:strike w:val="0"/>
        <w:color w:val="000000"/>
        <w:u w:val="none"/>
        <w:vertAlign w:val="baseline"/>
      </w:rPr>
    </w:lvl>
    <w:lvl w:ilvl="6">
      <w:start w:val="1"/>
      <w:numFmt w:val="decimal"/>
      <w:lvlText w:val="%1.%2.%3.%4.%5.%6.%7"/>
      <w:lvlJc w:val="left"/>
      <w:pPr>
        <w:ind w:left="2520" w:hanging="1440"/>
      </w:pPr>
      <w:rPr/>
    </w:lvl>
    <w:lvl w:ilvl="7">
      <w:start w:val="1"/>
      <w:numFmt w:val="decimal"/>
      <w:lvlText w:val="%1.%2.%3.%4.%5.%6.%7.%8"/>
      <w:lvlJc w:val="left"/>
      <w:pPr>
        <w:ind w:left="2520" w:hanging="1440"/>
      </w:pPr>
      <w:rPr/>
    </w:lvl>
    <w:lvl w:ilvl="8">
      <w:start w:val="1"/>
      <w:numFmt w:val="decimal"/>
      <w:lvlText w:val="%1.%2.%3.%4.%5.%6.%7.%8.%9"/>
      <w:lvlJc w:val="left"/>
      <w:pPr>
        <w:ind w:left="288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b w:val="1"/>
        <w:i w:val="0"/>
        <w:smallCaps w:val="0"/>
        <w:strike w:val="0"/>
        <w:color w:val="00000a"/>
        <w:sz w:val="24"/>
        <w:szCs w:val="24"/>
        <w:u w:val="none"/>
        <w:vertAlign w:val="baseline"/>
      </w:rPr>
    </w:lvl>
    <w:lvl w:ilvl="1">
      <w:start w:val="1"/>
      <w:numFmt w:val="decimal"/>
      <w:lvlText w:val="%1.%2"/>
      <w:lvlJc w:val="left"/>
      <w:pPr>
        <w:ind w:left="1080" w:hanging="360"/>
      </w:pPr>
      <w:rPr>
        <w:rFonts w:ascii="Arial" w:cs="Arial" w:eastAsia="Arial" w:hAnsi="Arial"/>
        <w:b w:val="0"/>
        <w:i w:val="0"/>
        <w:smallCaps w:val="0"/>
        <w:strike w:val="0"/>
        <w:color w:val="00000a"/>
        <w:sz w:val="24"/>
        <w:szCs w:val="24"/>
        <w:u w:val="none"/>
        <w:vertAlign w:val="baseline"/>
      </w:rPr>
    </w:lvl>
    <w:lvl w:ilvl="2">
      <w:start w:val="1"/>
      <w:numFmt w:val="decimal"/>
      <w:lvlText w:val="%1.%2.%3"/>
      <w:lvlJc w:val="left"/>
      <w:pPr>
        <w:ind w:left="2610" w:hanging="720"/>
      </w:pPr>
      <w:rPr>
        <w:rFonts w:ascii="Arial" w:cs="Arial" w:eastAsia="Arial" w:hAnsi="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decimal"/>
      <w:lvlText w:val="%1."/>
      <w:lvlJc w:val="left"/>
      <w:pPr>
        <w:ind w:left="360" w:hanging="360"/>
      </w:pPr>
      <w:rPr>
        <w:b w:val="1"/>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2"/>
        <w:szCs w:val="22"/>
        <w:u w:val="none"/>
        <w:vertAlign w:val="baseline"/>
      </w:rPr>
    </w:lvl>
    <w:lvl w:ilvl="2">
      <w:start w:val="1"/>
      <w:numFmt w:val="decimal"/>
      <w:lvlText w:val="%1.%2.%3"/>
      <w:lvlJc w:val="left"/>
      <w:pPr>
        <w:ind w:left="2610" w:hanging="720"/>
      </w:pPr>
      <w:rPr>
        <w:b w:val="0"/>
        <w:i w:val="0"/>
        <w:smallCaps w:val="0"/>
        <w:strike w:val="0"/>
        <w:color w:val="00000a"/>
        <w:sz w:val="22"/>
        <w:szCs w:val="22"/>
        <w:u w:val="none"/>
        <w:vertAlign w:val="baseline"/>
      </w:rPr>
    </w:lvl>
    <w:lvl w:ilvl="3">
      <w:start w:val="1"/>
      <w:numFmt w:val="lowerLetter"/>
      <w:lvlText w:val="(%4)"/>
      <w:lvlJc w:val="left"/>
      <w:pPr>
        <w:ind w:left="2847" w:hanging="720"/>
      </w:pPr>
      <w:rPr>
        <w:b w:val="0"/>
        <w:i w:val="0"/>
        <w:smallCaps w:val="0"/>
        <w:strike w:val="0"/>
        <w:color w:val="00000a"/>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32FDD"/>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pPr>
      <w:widowControl w:val="1"/>
      <w:spacing w:after="240"/>
      <w:jc w:val="both"/>
    </w:pPr>
    <w:rPr>
      <w:rFonts w:cs="Arial" w:eastAsia="Times New Roman"/>
    </w:rPr>
  </w:style>
  <w:style w:type="paragraph" w:styleId="Heading" w:customStyle="1">
    <w:name w:val="Heading"/>
    <w:basedOn w:val="Standard"/>
    <w:next w:val="Textbody"/>
    <w:pPr>
      <w:keepNext w:val="1"/>
      <w:spacing w:after="120" w:before="240"/>
    </w:pPr>
    <w:rPr>
      <w:rFonts w:ascii="Liberation Sans" w:cs="Arial Unicode MS" w:eastAsia="Arial Unicode MS" w:hAnsi="Liberation Sans"/>
      <w:sz w:val="28"/>
      <w:szCs w:val="28"/>
    </w:rPr>
  </w:style>
  <w:style w:type="paragraph" w:styleId="Textbody" w:customStyle="1">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val="1"/>
      <w:spacing w:after="120" w:before="120"/>
    </w:pPr>
    <w:rPr>
      <w:i w:val="1"/>
      <w:iCs w:val="1"/>
      <w:sz w:val="24"/>
      <w:szCs w:val="24"/>
    </w:rPr>
  </w:style>
  <w:style w:type="paragraph" w:styleId="Index" w:customStyle="1">
    <w:name w:val="Index"/>
    <w:basedOn w:val="Standard"/>
    <w:pPr>
      <w:suppressLineNumbers w:val="1"/>
    </w:pPr>
    <w:rPr>
      <w:sz w:val="24"/>
    </w:rPr>
  </w:style>
  <w:style w:type="paragraph" w:styleId="Header">
    <w:name w:val="header"/>
    <w:basedOn w:val="Standard"/>
    <w:pPr>
      <w:tabs>
        <w:tab w:val="center" w:pos="4513"/>
        <w:tab w:val="right" w:pos="9026"/>
      </w:tabs>
      <w:spacing w:after="0"/>
    </w:pPr>
  </w:style>
  <w:style w:type="paragraph" w:styleId="Footer">
    <w:name w:val="footer"/>
    <w:basedOn w:val="Standard"/>
    <w:uiPriority w:val="99"/>
    <w:pPr>
      <w:tabs>
        <w:tab w:val="center" w:pos="4513"/>
        <w:tab w:val="right" w:pos="9026"/>
      </w:tabs>
      <w:spacing w:after="0"/>
    </w:pPr>
  </w:style>
  <w:style w:type="paragraph" w:styleId="MarginText" w:customStyle="1">
    <w:name w:val="Margin Text"/>
    <w:basedOn w:val="Standard"/>
    <w:pPr>
      <w:keepNext w:val="1"/>
      <w:overflowPunct w:val="0"/>
      <w:spacing w:after="120" w:before="240"/>
      <w:ind w:left="142"/>
      <w:textAlignment w:val="auto"/>
    </w:pPr>
    <w:rPr>
      <w:rFonts w:cs="Times New Roman" w:eastAsia="STZhongsong"/>
      <w:szCs w:val="18"/>
      <w:lang w:eastAsia="zh-CN"/>
    </w:rPr>
  </w:style>
  <w:style w:type="paragraph" w:styleId="GPSL1CLAUSEHEADING" w:customStyle="1">
    <w:name w:val="GPS L1 CLAUSE HEADING"/>
    <w:basedOn w:val="Standard"/>
    <w:next w:val="Standard"/>
    <w:pPr>
      <w:tabs>
        <w:tab w:val="left" w:pos="142"/>
      </w:tabs>
      <w:overflowPunct w:val="0"/>
      <w:spacing w:before="120"/>
      <w:textAlignment w:val="auto"/>
      <w:outlineLvl w:val="1"/>
    </w:pPr>
    <w:rPr>
      <w:rFonts w:eastAsia="STZhongsong"/>
      <w:b w:val="1"/>
      <w:caps w:val="1"/>
      <w:lang w:eastAsia="zh-CN"/>
    </w:rPr>
  </w:style>
  <w:style w:type="paragraph" w:styleId="GPSL3numberedclause" w:customStyle="1">
    <w:name w:val="GPS L3 numbered clause"/>
    <w:basedOn w:val="Standard"/>
    <w:pPr>
      <w:tabs>
        <w:tab w:val="left" w:pos="3641"/>
      </w:tabs>
      <w:overflowPunct w:val="0"/>
      <w:spacing w:after="120" w:before="120"/>
      <w:ind w:left="1656"/>
      <w:textAlignment w:val="auto"/>
    </w:pPr>
    <w:rPr>
      <w:lang w:eastAsia="zh-CN"/>
    </w:rPr>
  </w:style>
  <w:style w:type="paragraph" w:styleId="GPSL4numberedclause" w:customStyle="1">
    <w:name w:val="GPS L4 numbered clause"/>
    <w:basedOn w:val="GPSL3numberedclause"/>
    <w:pPr>
      <w:tabs>
        <w:tab w:val="clear" w:pos="3641"/>
      </w:tabs>
      <w:ind w:left="2592" w:hanging="936"/>
    </w:pPr>
  </w:style>
  <w:style w:type="paragraph" w:styleId="GPSL5numberedclause" w:customStyle="1">
    <w:name w:val="GPS L5 numbered clause"/>
    <w:basedOn w:val="GPSL4numberedclause"/>
    <w:pPr>
      <w:tabs>
        <w:tab w:val="left" w:pos="6238"/>
      </w:tabs>
      <w:ind w:left="3119" w:hanging="567"/>
    </w:pPr>
  </w:style>
  <w:style w:type="paragraph" w:styleId="GPSL2NumberedBoldHeading" w:customStyle="1">
    <w:name w:val="GPS L2 Numbered Bold Heading"/>
    <w:basedOn w:val="Standard"/>
    <w:pPr>
      <w:tabs>
        <w:tab w:val="left" w:pos="3054"/>
      </w:tabs>
      <w:overflowPunct w:val="0"/>
      <w:spacing w:after="120" w:before="120"/>
      <w:ind w:left="1920"/>
      <w:textAlignment w:val="auto"/>
    </w:pPr>
    <w:rPr>
      <w:b w:val="1"/>
      <w:lang w:eastAsia="zh-CN"/>
    </w:rPr>
  </w:style>
  <w:style w:type="paragraph" w:styleId="GPSL6numbered" w:customStyle="1">
    <w:name w:val="GPS L6 numbered"/>
    <w:basedOn w:val="GPSL5numberedclause"/>
    <w:pPr>
      <w:tabs>
        <w:tab w:val="clear" w:pos="6238"/>
        <w:tab w:val="left" w:pos="4046"/>
        <w:tab w:val="left" w:pos="7372"/>
      </w:tabs>
      <w:ind w:left="3686"/>
    </w:pPr>
  </w:style>
  <w:style w:type="paragraph" w:styleId="GPSL1Guidance" w:customStyle="1">
    <w:name w:val="GPS L1 Guidance"/>
    <w:basedOn w:val="Standard"/>
    <w:pPr>
      <w:spacing w:after="120" w:before="240"/>
      <w:ind w:left="426"/>
    </w:pPr>
    <w:rPr>
      <w:b w:val="1"/>
      <w:i w:val="1"/>
    </w:rPr>
  </w:style>
  <w:style w:type="paragraph" w:styleId="GPSL1SCHEDULEHeading" w:customStyle="1">
    <w:name w:val="GPS L1 SCHEDULE Heading"/>
    <w:basedOn w:val="GPSL1CLAUSEHEADING"/>
    <w:pPr>
      <w:tabs>
        <w:tab w:val="clear" w:pos="142"/>
      </w:tabs>
    </w:pPr>
  </w:style>
  <w:style w:type="paragraph" w:styleId="GPSmacrorestart" w:customStyle="1">
    <w:name w:val="GPS macro restart"/>
    <w:basedOn w:val="Standard"/>
    <w:qFormat w:val="1"/>
    <w:pPr>
      <w:spacing w:after="0"/>
    </w:pPr>
    <w:rPr>
      <w:color w:val="ffffff"/>
      <w:sz w:val="16"/>
      <w:szCs w:val="16"/>
    </w:rPr>
  </w:style>
  <w:style w:type="paragraph" w:styleId="GPSSchTitleandNumber" w:customStyle="1">
    <w:name w:val="GPS Sch Title and Number"/>
    <w:basedOn w:val="Standard"/>
    <w:pPr>
      <w:keepNext w:val="1"/>
      <w:overflowPunct w:val="0"/>
      <w:ind w:firstLine="426"/>
      <w:jc w:val="center"/>
      <w:textAlignment w:val="auto"/>
      <w:outlineLvl w:val="0"/>
    </w:pPr>
    <w:rPr>
      <w:rFonts w:ascii="Arial Bold" w:cs="Times New Roman" w:eastAsia="STZhongsong" w:hAnsi="Arial Bold"/>
      <w:b w:val="1"/>
      <w:caps w:val="1"/>
      <w:lang w:eastAsia="zh-CN"/>
    </w:rPr>
  </w:style>
  <w:style w:type="paragraph" w:styleId="GPSSchPart" w:customStyle="1">
    <w:name w:val="GPS Sch Part"/>
    <w:basedOn w:val="Standard"/>
    <w:qFormat w:val="1"/>
    <w:pPr>
      <w:keepNext w:val="1"/>
      <w:overflowPunct w:val="0"/>
      <w:spacing w:before="240"/>
      <w:ind w:firstLine="426"/>
      <w:jc w:val="center"/>
      <w:textAlignment w:val="auto"/>
    </w:pPr>
    <w:rPr>
      <w:rFonts w:ascii="Arial Bold" w:cs="Times New Roman" w:eastAsia="STZhongsong" w:hAnsi="Arial Bold"/>
      <w:b w:val="1"/>
      <w:caps w:val="1"/>
      <w:lang w:eastAsia="zh-CN"/>
    </w:rPr>
  </w:style>
  <w:style w:type="paragraph" w:styleId="GPSL2Numbered" w:customStyle="1">
    <w:name w:val="GPS L2 Numbered"/>
    <w:basedOn w:val="GPSL2NumberedBoldHeading"/>
    <w:pPr>
      <w:tabs>
        <w:tab w:val="clear" w:pos="3054"/>
      </w:tabs>
      <w:ind w:left="936" w:hanging="576"/>
    </w:pPr>
    <w:rPr>
      <w:b w:val="0"/>
    </w:rPr>
  </w:style>
  <w:style w:type="paragraph" w:styleId="GPSL1Schedulenumbered" w:customStyle="1">
    <w:name w:val="GPS L1 Schedule numbered"/>
    <w:basedOn w:val="Standard"/>
    <w:qFormat w:val="1"/>
    <w:pPr>
      <w:tabs>
        <w:tab w:val="left" w:pos="851"/>
      </w:tabs>
    </w:pPr>
  </w:style>
  <w:style w:type="paragraph" w:styleId="BalloonText">
    <w:name w:val="Balloon Text"/>
    <w:basedOn w:val="Standard"/>
    <w:pPr>
      <w:spacing w:after="0"/>
    </w:pPr>
    <w:rPr>
      <w:rFonts w:ascii="Tahoma" w:cs="Tahoma" w:eastAsia="Tahoma" w:hAnsi="Tahoma"/>
      <w:sz w:val="16"/>
      <w:szCs w:val="16"/>
    </w:rPr>
  </w:style>
  <w:style w:type="paragraph" w:styleId="GPSL2Guidance" w:customStyle="1">
    <w:name w:val="GPS L2 Guidance"/>
    <w:basedOn w:val="Standard"/>
    <w:pPr>
      <w:tabs>
        <w:tab w:val="left" w:pos="2268"/>
      </w:tabs>
      <w:overflowPunct w:val="0"/>
      <w:spacing w:after="120" w:before="120"/>
      <w:ind w:left="1134"/>
      <w:textAlignment w:val="auto"/>
    </w:pPr>
    <w:rPr>
      <w:b w:val="1"/>
      <w:i w:val="1"/>
      <w:lang w:eastAsia="zh-CN"/>
    </w:rPr>
  </w:style>
  <w:style w:type="paragraph" w:styleId="GPSL2Indent" w:customStyle="1">
    <w:name w:val="GPS L2 Indent"/>
    <w:basedOn w:val="Standard"/>
    <w:pPr>
      <w:tabs>
        <w:tab w:val="left" w:pos="4536"/>
      </w:tabs>
      <w:spacing w:after="220"/>
      <w:ind w:left="1134"/>
    </w:pPr>
    <w:rPr>
      <w:szCs w:val="24"/>
    </w:rPr>
  </w:style>
  <w:style w:type="paragraph" w:styleId="GPSL4Guidance" w:customStyle="1">
    <w:name w:val="GPS L4 Guidance"/>
    <w:basedOn w:val="Standard"/>
    <w:pPr>
      <w:tabs>
        <w:tab w:val="left" w:pos="3970"/>
      </w:tabs>
      <w:overflowPunct w:val="0"/>
      <w:spacing w:after="120" w:before="120"/>
      <w:ind w:left="1985"/>
      <w:textAlignment w:val="auto"/>
    </w:pPr>
    <w:rPr>
      <w:b w:val="1"/>
      <w:i w:val="1"/>
      <w:lang w:eastAsia="zh-CN"/>
    </w:rPr>
  </w:style>
  <w:style w:type="paragraph" w:styleId="GPSL2non-numberboldheading" w:customStyle="1">
    <w:name w:val="GPS L2 non-number bold heading"/>
    <w:basedOn w:val="GPSL2NumberedBoldHeading"/>
    <w:pPr>
      <w:ind w:left="1134"/>
    </w:pPr>
  </w:style>
  <w:style w:type="paragraph" w:styleId="CommentText">
    <w:name w:val="annotation text"/>
    <w:basedOn w:val="Standard"/>
    <w:rPr>
      <w:sz w:val="20"/>
      <w:szCs w:val="20"/>
    </w:rPr>
  </w:style>
  <w:style w:type="paragraph" w:styleId="CommentSubject">
    <w:name w:val="annotation subject"/>
    <w:basedOn w:val="CommentText"/>
    <w:rPr>
      <w:b w:val="1"/>
      <w:bCs w:val="1"/>
    </w:rPr>
  </w:style>
  <w:style w:type="character" w:styleId="HeaderChar" w:customStyle="1">
    <w:name w:val="Header Char"/>
    <w:basedOn w:val="DefaultParagraphFont"/>
  </w:style>
  <w:style w:type="character" w:styleId="FooterChar" w:customStyle="1">
    <w:name w:val="Footer Char"/>
    <w:basedOn w:val="DefaultParagraphFont"/>
    <w:uiPriority w:val="99"/>
  </w:style>
  <w:style w:type="character" w:styleId="Emphasis">
    <w:name w:val="Emphasis"/>
    <w:basedOn w:val="DefaultParagraphFont"/>
    <w:rPr>
      <w:i w:val="1"/>
      <w:iCs w:val="1"/>
    </w:rPr>
  </w:style>
  <w:style w:type="character" w:styleId="MarginTextChar" w:customStyle="1">
    <w:name w:val="Margin Text Char"/>
    <w:rPr>
      <w:rFonts w:ascii="Calibri" w:cs="Times New Roman" w:eastAsia="STZhongsong" w:hAnsi="Calibri"/>
      <w:szCs w:val="18"/>
      <w:lang w:eastAsia="zh-CN"/>
    </w:rPr>
  </w:style>
  <w:style w:type="character" w:styleId="GPSL2NumberedChar" w:customStyle="1">
    <w:name w:val="GPS L2 Numbered Char"/>
    <w:rPr>
      <w:rFonts w:ascii="Calibri" w:cs="Arial" w:eastAsia="Times New Roman" w:hAnsi="Calibri"/>
      <w:lang w:eastAsia="zh-CN"/>
    </w:rPr>
  </w:style>
  <w:style w:type="character" w:styleId="GPSL1SCHEDULEHeadingChar" w:customStyle="1">
    <w:name w:val="GPS L1 SCHEDULE Heading Char"/>
    <w:rPr>
      <w:rFonts w:ascii="Calibri" w:cs="Arial" w:eastAsia="STZhongsong" w:hAnsi="Calibri"/>
      <w:b w:val="1"/>
      <w:caps w:val="1"/>
      <w:lang w:eastAsia="zh-CN"/>
    </w:rPr>
  </w:style>
  <w:style w:type="character" w:styleId="GPSL1SchedulenumberedChar1" w:customStyle="1">
    <w:name w:val="GPS L1 Schedule numbered Char1"/>
    <w:rPr>
      <w:rFonts w:ascii="Calibri" w:cs="Arial" w:eastAsia="Times New Roman" w:hAnsi="Calibri"/>
    </w:rPr>
  </w:style>
  <w:style w:type="character" w:styleId="GPSL1GuidanceChar" w:customStyle="1">
    <w:name w:val="GPS L1 Guidance Char"/>
    <w:rPr>
      <w:rFonts w:ascii="Calibri" w:cs="Arial" w:eastAsia="Times New Roman" w:hAnsi="Calibri"/>
      <w:b w:val="1"/>
      <w:i w:val="1"/>
    </w:rPr>
  </w:style>
  <w:style w:type="character" w:styleId="GPSSchTitleandNumberChar" w:customStyle="1">
    <w:name w:val="GPS Sch Title and Number Char"/>
    <w:rPr>
      <w:rFonts w:ascii="Arial Bold" w:cs="Times New Roman" w:eastAsia="STZhongsong" w:hAnsi="Arial Bold"/>
      <w:b w:val="1"/>
      <w:caps w:val="1"/>
      <w:lang w:eastAsia="zh-CN"/>
    </w:rPr>
  </w:style>
  <w:style w:type="character" w:styleId="GPSSchPartChar" w:customStyle="1">
    <w:name w:val="GPS Sch Part Char"/>
    <w:rPr>
      <w:rFonts w:ascii="Arial Bold" w:cs="Times New Roman" w:eastAsia="STZhongsong" w:hAnsi="Arial Bold"/>
      <w:b w:val="1"/>
      <w:caps w:val="1"/>
      <w:lang w:eastAsia="zh-CN"/>
    </w:rPr>
  </w:style>
  <w:style w:type="character" w:styleId="BalloonTextChar" w:customStyle="1">
    <w:name w:val="Balloon Text Char"/>
    <w:basedOn w:val="DefaultParagraphFont"/>
    <w:rPr>
      <w:rFonts w:ascii="Tahoma" w:cs="Tahoma" w:eastAsia="Times New Roman" w:hAnsi="Tahoma"/>
      <w:sz w:val="16"/>
      <w:szCs w:val="16"/>
    </w:rPr>
  </w:style>
  <w:style w:type="character" w:styleId="GPSL4numberedclauseChar" w:customStyle="1">
    <w:name w:val="GPS L4 numbered clause Char"/>
    <w:rPr>
      <w:rFonts w:ascii="Calibri" w:cs="Arial" w:eastAsia="Times New Roman" w:hAnsi="Calibri"/>
      <w:lang w:eastAsia="zh-CN"/>
    </w:rPr>
  </w:style>
  <w:style w:type="character" w:styleId="GPSL3numberedclauseChar" w:customStyle="1">
    <w:name w:val="GPS L3 numbered clause Char"/>
    <w:rPr>
      <w:rFonts w:ascii="Calibri" w:cs="Arial" w:eastAsia="Times New Roman" w:hAnsi="Calibri"/>
      <w:lang w:eastAsia="zh-CN"/>
    </w:rPr>
  </w:style>
  <w:style w:type="character" w:styleId="GPSL5numberedclauseChar" w:customStyle="1">
    <w:name w:val="GPS L5 numbered clause Char"/>
    <w:rPr>
      <w:rFonts w:ascii="Calibri" w:cs="Arial" w:eastAsia="Times New Roman" w:hAnsi="Calibri"/>
      <w:lang w:eastAsia="zh-CN"/>
    </w:rPr>
  </w:style>
  <w:style w:type="character" w:styleId="GPSL4GuidanceChar" w:customStyle="1">
    <w:name w:val="GPS L4 Guidance Char"/>
    <w:rPr>
      <w:rFonts w:ascii="Calibri" w:cs="Arial" w:eastAsia="Times New Roman" w:hAnsi="Calibri"/>
      <w:b w:val="1"/>
      <w:i w:val="1"/>
      <w:lang w:eastAsia="zh-CN"/>
    </w:rPr>
  </w:style>
  <w:style w:type="character" w:styleId="GPSL2non-numberboldheadingChar" w:customStyle="1">
    <w:name w:val="GPS L2 non-number bold heading Char"/>
    <w:rPr>
      <w:rFonts w:ascii="Calibri" w:cs="Arial" w:eastAsia="Times New Roman" w:hAnsi="Calibri"/>
      <w:b w:val="1"/>
      <w:lang w:eastAsia="zh-CN"/>
    </w:rPr>
  </w:style>
  <w:style w:type="character" w:styleId="GPSL2IndentChar" w:customStyle="1">
    <w:name w:val="GPS L2 Indent Char"/>
    <w:rPr>
      <w:rFonts w:ascii="Calibri" w:cs="Arial" w:eastAsia="Times New Roman" w:hAnsi="Calibri"/>
      <w:szCs w:val="24"/>
    </w:rPr>
  </w:style>
  <w:style w:type="character" w:styleId="GPSL2GuidanceChar" w:customStyle="1">
    <w:name w:val="GPS L2 Guidance Char"/>
    <w:rPr>
      <w:rFonts w:ascii="Calibri" w:cs="Arial" w:eastAsia="Times New Roman" w:hAnsi="Calibri"/>
      <w:b w:val="1"/>
      <w:i w:val="1"/>
      <w:lang w:eastAsia="zh-CN"/>
    </w:rPr>
  </w:style>
  <w:style w:type="character" w:styleId="CommentReference">
    <w:name w:val="annotation reference"/>
    <w:basedOn w:val="DefaultParagraphFont"/>
    <w:rPr>
      <w:sz w:val="16"/>
      <w:szCs w:val="16"/>
    </w:rPr>
  </w:style>
  <w:style w:type="character" w:styleId="CommentTextChar" w:customStyle="1">
    <w:name w:val="Comment Text Char"/>
    <w:basedOn w:val="DefaultParagraphFont"/>
    <w:rPr>
      <w:rFonts w:ascii="Calibri" w:cs="Arial" w:eastAsia="Times New Roman" w:hAnsi="Calibri"/>
      <w:sz w:val="20"/>
      <w:szCs w:val="20"/>
    </w:rPr>
  </w:style>
  <w:style w:type="character" w:styleId="CommentSubjectChar" w:customStyle="1">
    <w:name w:val="Comment Subject Char"/>
    <w:basedOn w:val="CommentTextChar"/>
    <w:rPr>
      <w:rFonts w:ascii="Calibri" w:cs="Arial" w:eastAsia="Times New Roman" w:hAnsi="Calibri"/>
      <w:b w:val="1"/>
      <w:bCs w:val="1"/>
      <w:sz w:val="20"/>
      <w:szCs w:val="20"/>
    </w:rPr>
  </w:style>
  <w:style w:type="character" w:styleId="ListLabel1" w:customStyle="1">
    <w:name w:val="ListLabel 1"/>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2" w:customStyle="1">
    <w:name w:val="ListLabel 2"/>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 w:customStyle="1">
    <w:name w:val="ListLabel 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 w:customStyle="1">
    <w:name w:val="ListLabel 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 w:customStyle="1">
    <w:name w:val="ListLabel 5"/>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6" w:customStyle="1">
    <w:name w:val="ListLabel 6"/>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7" w:customStyle="1">
    <w:name w:val="ListLabel 7"/>
    <w:rPr>
      <w:rFonts w:cs="Times New Roman"/>
    </w:rPr>
  </w:style>
  <w:style w:type="character" w:styleId="ListLabel8" w:customStyle="1">
    <w:name w:val="ListLabel 8"/>
    <w:rPr>
      <w:rFonts w:cs="Times New Roman"/>
    </w:rPr>
  </w:style>
  <w:style w:type="character" w:styleId="ListLabel9" w:customStyle="1">
    <w:name w:val="ListLabel 9"/>
    <w:rPr>
      <w:rFonts w:cs="Times New Roman"/>
    </w:rPr>
  </w:style>
  <w:style w:type="character" w:styleId="ListLabel10" w:customStyle="1">
    <w:name w:val="ListLabel 1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11" w:customStyle="1">
    <w:name w:val="ListLabel 11"/>
    <w:rPr>
      <w:rFonts w:cs="Times New Roman"/>
    </w:rPr>
  </w:style>
  <w:style w:type="character" w:styleId="ListLabel12" w:customStyle="1">
    <w:name w:val="ListLabel 12"/>
    <w:rPr>
      <w:rFonts w:cs="Times New Roman"/>
    </w:rPr>
  </w:style>
  <w:style w:type="character" w:styleId="ListLabel13" w:customStyle="1">
    <w:name w:val="ListLabel 13"/>
    <w:rPr>
      <w:rFonts w:cs="Times New Roman"/>
    </w:rPr>
  </w:style>
  <w:style w:type="character" w:styleId="ListLabel14" w:customStyle="1">
    <w:name w:val="ListLabel 14"/>
    <w:rPr>
      <w:rFonts w:cs="Times New Roman"/>
    </w:rPr>
  </w:style>
  <w:style w:type="character" w:styleId="ListLabel15" w:customStyle="1">
    <w:name w:val="ListLabel 15"/>
    <w:rPr>
      <w:rFonts w:cs="Times New Roman"/>
    </w:rPr>
  </w:style>
  <w:style w:type="character" w:styleId="ListLabel16" w:customStyle="1">
    <w:name w:val="ListLabel 16"/>
    <w:rPr>
      <w:rFonts w:cs="Times New Roman"/>
    </w:rPr>
  </w:style>
  <w:style w:type="character" w:styleId="ListLabel17" w:customStyle="1">
    <w:name w:val="ListLabel 17"/>
    <w:rPr>
      <w:rFonts w:cs="Times New Roman"/>
    </w:rPr>
  </w:style>
  <w:style w:type="character" w:styleId="ListLabel18" w:customStyle="1">
    <w:name w:val="ListLabel 18"/>
    <w:rPr>
      <w:rFonts w:cs="Times New Roman"/>
    </w:rPr>
  </w:style>
  <w:style w:type="character" w:styleId="ListLabel19" w:customStyle="1">
    <w:name w:val="ListLabel 1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20" w:customStyle="1">
    <w:name w:val="ListLabel 20"/>
    <w:rPr>
      <w:rFonts w:cs="Times New Roman"/>
    </w:rPr>
  </w:style>
  <w:style w:type="character" w:styleId="ListLabel21" w:customStyle="1">
    <w:name w:val="ListLabel 21"/>
    <w:rPr>
      <w:rFonts w:cs="Times New Roman"/>
    </w:rPr>
  </w:style>
  <w:style w:type="character" w:styleId="ListLabel22" w:customStyle="1">
    <w:name w:val="ListLabel 22"/>
    <w:rPr>
      <w:rFonts w:cs="Times New Roman"/>
    </w:rPr>
  </w:style>
  <w:style w:type="character" w:styleId="ListLabel23" w:customStyle="1">
    <w:name w:val="ListLabel 23"/>
    <w:rPr>
      <w:rFonts w:cs="Times New Roman"/>
    </w:rPr>
  </w:style>
  <w:style w:type="character" w:styleId="ListLabel24" w:customStyle="1">
    <w:name w:val="ListLabel 24"/>
    <w:rPr>
      <w:rFonts w:cs="Times New Roman"/>
    </w:rPr>
  </w:style>
  <w:style w:type="character" w:styleId="ListLabel25" w:customStyle="1">
    <w:name w:val="ListLabel 25"/>
    <w:rPr>
      <w:rFonts w:cs="Times New Roman"/>
    </w:rPr>
  </w:style>
  <w:style w:type="character" w:styleId="ListLabel26" w:customStyle="1">
    <w:name w:val="ListLabel 26"/>
    <w:rPr>
      <w:rFonts w:cs="Times New Roman"/>
    </w:rPr>
  </w:style>
  <w:style w:type="character" w:styleId="ListLabel27" w:customStyle="1">
    <w:name w:val="ListLabel 27"/>
    <w:rPr>
      <w:rFonts w:cs="Times New Roman"/>
    </w:rPr>
  </w:style>
  <w:style w:type="character" w:styleId="ListLabel28" w:customStyle="1">
    <w:name w:val="ListLabel 28"/>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29" w:customStyle="1">
    <w:name w:val="ListLabel 2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0" w:customStyle="1">
    <w:name w:val="ListLabel 3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1" w:customStyle="1">
    <w:name w:val="ListLabel 31"/>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2" w:customStyle="1">
    <w:name w:val="ListLabel 32"/>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33" w:customStyle="1">
    <w:name w:val="ListLabel 33"/>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34" w:customStyle="1">
    <w:name w:val="ListLabel 34"/>
    <w:rPr>
      <w:rFonts w:cs="Times New Roman"/>
    </w:rPr>
  </w:style>
  <w:style w:type="character" w:styleId="ListLabel35" w:customStyle="1">
    <w:name w:val="ListLabel 35"/>
    <w:rPr>
      <w:rFonts w:cs="Times New Roman"/>
    </w:rPr>
  </w:style>
  <w:style w:type="character" w:styleId="ListLabel36" w:customStyle="1">
    <w:name w:val="ListLabel 36"/>
    <w:rPr>
      <w:rFonts w:cs="Times New Roman"/>
    </w:rPr>
  </w:style>
  <w:style w:type="character" w:styleId="ListLabel37" w:customStyle="1">
    <w:name w:val="ListLabel 37"/>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8" w:customStyle="1">
    <w:name w:val="ListLabel 3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9" w:customStyle="1">
    <w:name w:val="ListLabel 3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0" w:customStyle="1">
    <w:name w:val="ListLabel 4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1" w:customStyle="1">
    <w:name w:val="ListLabel 41"/>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42" w:customStyle="1">
    <w:name w:val="ListLabel 42"/>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43" w:customStyle="1">
    <w:name w:val="ListLabel 43"/>
    <w:rPr>
      <w:rFonts w:cs="Times New Roman"/>
    </w:rPr>
  </w:style>
  <w:style w:type="character" w:styleId="ListLabel44" w:customStyle="1">
    <w:name w:val="ListLabel 44"/>
    <w:rPr>
      <w:rFonts w:cs="Times New Roman"/>
    </w:rPr>
  </w:style>
  <w:style w:type="character" w:styleId="ListLabel45" w:customStyle="1">
    <w:name w:val="ListLabel 45"/>
    <w:rPr>
      <w:rFonts w:cs="Times New Roman"/>
    </w:rPr>
  </w:style>
  <w:style w:type="character" w:styleId="ListLabel46" w:customStyle="1">
    <w:name w:val="ListLabel 46"/>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7" w:customStyle="1">
    <w:name w:val="ListLabel 4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8" w:customStyle="1">
    <w:name w:val="ListLabel 4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9" w:customStyle="1">
    <w:name w:val="ListLabel 4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0" w:customStyle="1">
    <w:name w:val="ListLabel 50"/>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51" w:customStyle="1">
    <w:name w:val="ListLabel 51"/>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52" w:customStyle="1">
    <w:name w:val="ListLabel 52"/>
    <w:rPr>
      <w:rFonts w:cs="Times New Roman"/>
    </w:rPr>
  </w:style>
  <w:style w:type="character" w:styleId="ListLabel53" w:customStyle="1">
    <w:name w:val="ListLabel 53"/>
    <w:rPr>
      <w:rFonts w:cs="Times New Roman"/>
    </w:rPr>
  </w:style>
  <w:style w:type="character" w:styleId="ListLabel54" w:customStyle="1">
    <w:name w:val="ListLabel 54"/>
    <w:rPr>
      <w:rFonts w:cs="Times New Roman"/>
    </w:rPr>
  </w:style>
  <w:style w:type="character" w:styleId="ListLabel55" w:customStyle="1">
    <w:name w:val="ListLabel 55"/>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6" w:customStyle="1">
    <w:name w:val="ListLabel 5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7" w:customStyle="1">
    <w:name w:val="ListLabel 5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8" w:customStyle="1">
    <w:name w:val="ListLabel 5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9" w:customStyle="1">
    <w:name w:val="ListLabel 59"/>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60" w:customStyle="1">
    <w:name w:val="ListLabel 60"/>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61" w:customStyle="1">
    <w:name w:val="ListLabel 61"/>
    <w:rPr>
      <w:rFonts w:cs="Times New Roman"/>
    </w:rPr>
  </w:style>
  <w:style w:type="character" w:styleId="ListLabel62" w:customStyle="1">
    <w:name w:val="ListLabel 62"/>
    <w:rPr>
      <w:rFonts w:cs="Times New Roman"/>
    </w:rPr>
  </w:style>
  <w:style w:type="character" w:styleId="ListLabel63" w:customStyle="1">
    <w:name w:val="ListLabel 63"/>
    <w:rPr>
      <w:rFonts w:cs="Times New Roman"/>
    </w:rPr>
  </w:style>
  <w:style w:type="character" w:styleId="ListLabel64" w:customStyle="1">
    <w:name w:val="ListLabel 64"/>
    <w:rPr>
      <w:rFonts w:cs="Courier New"/>
      <w:b w:val="0"/>
    </w:rPr>
  </w:style>
  <w:style w:type="character" w:styleId="ListLabel65" w:customStyle="1">
    <w:name w:val="ListLabel 65"/>
    <w:rPr>
      <w:rFonts w:cs="Courier New"/>
    </w:rPr>
  </w:style>
  <w:style w:type="character" w:styleId="ListLabel66" w:customStyle="1">
    <w:name w:val="ListLabel 66"/>
    <w:rPr>
      <w:rFonts w:cs="Courier New"/>
    </w:rPr>
  </w:style>
  <w:style w:type="character" w:styleId="ListLabel67" w:customStyle="1">
    <w:name w:val="ListLabel 67"/>
    <w:rPr>
      <w:rFonts w:cs="Courier New"/>
    </w:rPr>
  </w:style>
  <w:style w:type="character" w:styleId="ListLabel68" w:customStyle="1">
    <w:name w:val="ListLabel 68"/>
    <w:rPr>
      <w:rFonts w:cs="Courier New"/>
    </w:rPr>
  </w:style>
  <w:style w:type="character" w:styleId="ListLabel69" w:customStyle="1">
    <w:name w:val="ListLabel 69"/>
    <w:rPr>
      <w:rFonts w:cs="Courier New"/>
    </w:rPr>
  </w:style>
  <w:style w:type="character" w:styleId="ListLabel70" w:customStyle="1">
    <w:name w:val="ListLabel 70"/>
    <w:rPr>
      <w:rFonts w:cs="Courier New"/>
    </w:rPr>
  </w:style>
  <w:style w:type="character" w:styleId="ListLabel71" w:customStyle="1">
    <w:name w:val="ListLabel 71"/>
    <w:rPr>
      <w:rFonts w:cs="Courier New"/>
    </w:rPr>
  </w:style>
  <w:style w:type="character" w:styleId="ListLabel72" w:customStyle="1">
    <w:name w:val="ListLabel 72"/>
    <w:rPr>
      <w:rFonts w:cs="Courier New"/>
    </w:rPr>
  </w:style>
  <w:style w:type="character" w:styleId="ListLabel73" w:customStyle="1">
    <w:name w:val="ListLabel 73"/>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74" w:customStyle="1">
    <w:name w:val="ListLabel 7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75" w:customStyle="1">
    <w:name w:val="ListLabel 7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76" w:customStyle="1">
    <w:name w:val="ListLabel 7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77" w:customStyle="1">
    <w:name w:val="ListLabel 77"/>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78" w:customStyle="1">
    <w:name w:val="ListLabel 78"/>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79" w:customStyle="1">
    <w:name w:val="ListLabel 79"/>
    <w:rPr>
      <w:rFonts w:cs="Times New Roman"/>
    </w:rPr>
  </w:style>
  <w:style w:type="character" w:styleId="ListLabel80" w:customStyle="1">
    <w:name w:val="ListLabel 80"/>
    <w:rPr>
      <w:rFonts w:cs="Times New Roman"/>
    </w:rPr>
  </w:style>
  <w:style w:type="character" w:styleId="ListLabel81" w:customStyle="1">
    <w:name w:val="ListLabel 81"/>
    <w:rPr>
      <w:rFonts w:cs="Times New Roman"/>
    </w:rPr>
  </w:style>
  <w:style w:type="character" w:styleId="ListLabel82" w:customStyle="1">
    <w:name w:val="ListLabel 82"/>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83" w:customStyle="1">
    <w:name w:val="ListLabel 8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84" w:customStyle="1">
    <w:name w:val="ListLabel 8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85" w:customStyle="1">
    <w:name w:val="ListLabel 8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86" w:customStyle="1">
    <w:name w:val="ListLabel 86"/>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87" w:customStyle="1">
    <w:name w:val="ListLabel 87"/>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88" w:customStyle="1">
    <w:name w:val="ListLabel 88"/>
    <w:rPr>
      <w:rFonts w:cs="Times New Roman"/>
    </w:rPr>
  </w:style>
  <w:style w:type="character" w:styleId="ListLabel89" w:customStyle="1">
    <w:name w:val="ListLabel 89"/>
    <w:rPr>
      <w:rFonts w:cs="Times New Roman"/>
    </w:rPr>
  </w:style>
  <w:style w:type="character" w:styleId="ListLabel90" w:customStyle="1">
    <w:name w:val="ListLabel 90"/>
    <w:rPr>
      <w:rFonts w:cs="Times New Roman"/>
    </w:rPr>
  </w:style>
  <w:style w:type="numbering" w:styleId="NoList1" w:customStyle="1">
    <w:name w:val="No List_1"/>
    <w:basedOn w:val="NoList"/>
    <w:pPr>
      <w:numPr>
        <w:numId w:val="1"/>
      </w:numPr>
    </w:pPr>
  </w:style>
  <w:style w:type="numbering" w:styleId="WWNum1" w:customStyle="1">
    <w:name w:val="WWNum1"/>
    <w:basedOn w:val="NoList"/>
    <w:pPr>
      <w:numPr>
        <w:numId w:val="2"/>
      </w:numPr>
    </w:pPr>
  </w:style>
  <w:style w:type="numbering" w:styleId="WWNum2" w:customStyle="1">
    <w:name w:val="WWNum2"/>
    <w:basedOn w:val="NoList"/>
    <w:pPr>
      <w:numPr>
        <w:numId w:val="3"/>
      </w:numPr>
    </w:pPr>
  </w:style>
  <w:style w:type="numbering" w:styleId="WWNum3" w:customStyle="1">
    <w:name w:val="WWNum3"/>
    <w:basedOn w:val="NoList"/>
    <w:pPr>
      <w:numPr>
        <w:numId w:val="4"/>
      </w:numPr>
    </w:pPr>
  </w:style>
  <w:style w:type="numbering" w:styleId="WWNum4" w:customStyle="1">
    <w:name w:val="WWNum4"/>
    <w:basedOn w:val="NoList"/>
    <w:pPr>
      <w:numPr>
        <w:numId w:val="5"/>
      </w:numPr>
    </w:pPr>
  </w:style>
  <w:style w:type="numbering" w:styleId="WWNum5" w:customStyle="1">
    <w:name w:val="WWNum5"/>
    <w:basedOn w:val="NoList"/>
    <w:pPr>
      <w:numPr>
        <w:numId w:val="6"/>
      </w:numPr>
    </w:pPr>
  </w:style>
  <w:style w:type="numbering" w:styleId="WWNum6" w:customStyle="1">
    <w:name w:val="WWNum6"/>
    <w:basedOn w:val="NoList"/>
    <w:pPr>
      <w:numPr>
        <w:numId w:val="7"/>
      </w:numPr>
    </w:pPr>
  </w:style>
  <w:style w:type="numbering" w:styleId="WWNum7" w:customStyle="1">
    <w:name w:val="WWNum7"/>
    <w:basedOn w:val="NoList"/>
    <w:pPr>
      <w:numPr>
        <w:numId w:val="8"/>
      </w:numPr>
    </w:pPr>
  </w:style>
  <w:style w:type="numbering" w:styleId="WWNum8" w:customStyle="1">
    <w:name w:val="WWNum8"/>
    <w:basedOn w:val="NoList"/>
    <w:pPr>
      <w:numPr>
        <w:numId w:val="9"/>
      </w:numPr>
    </w:pPr>
  </w:style>
  <w:style w:type="numbering" w:styleId="WWNum9" w:customStyle="1">
    <w:name w:val="WWNum9"/>
    <w:basedOn w:val="NoList"/>
    <w:pPr>
      <w:numPr>
        <w:numId w:val="10"/>
      </w:numPr>
    </w:pPr>
  </w:style>
  <w:style w:type="numbering" w:styleId="WWNum10" w:customStyle="1">
    <w:name w:val="WWNum10"/>
    <w:basedOn w:val="NoList"/>
    <w:pPr>
      <w:numPr>
        <w:numId w:val="11"/>
      </w:numPr>
    </w:pPr>
  </w:style>
  <w:style w:type="numbering" w:styleId="WWNum11" w:customStyle="1">
    <w:name w:val="WWNum11"/>
    <w:basedOn w:val="NoList"/>
    <w:pPr>
      <w:numPr>
        <w:numId w:val="12"/>
      </w:numPr>
    </w:pPr>
  </w:style>
  <w:style w:type="numbering" w:styleId="WWNum12" w:customStyle="1">
    <w:name w:val="WWNum12"/>
    <w:basedOn w:val="NoList"/>
    <w:pPr>
      <w:numPr>
        <w:numId w:val="21"/>
      </w:numPr>
    </w:pPr>
  </w:style>
  <w:style w:type="numbering" w:styleId="WWNum13" w:customStyle="1">
    <w:name w:val="WWNum13"/>
    <w:basedOn w:val="NoList"/>
    <w:pPr>
      <w:numPr>
        <w:numId w:val="14"/>
      </w:numPr>
    </w:pPr>
  </w:style>
  <w:style w:type="table" w:styleId="TableGrid">
    <w:name w:val="Table Grid"/>
    <w:basedOn w:val="TableNormal"/>
    <w:uiPriority w:val="59"/>
    <w:rsid w:val="007A5C9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AMainHeading" w:customStyle="1">
    <w:name w:val="FA: Main Heading"/>
    <w:basedOn w:val="Heading1"/>
    <w:qFormat w:val="1"/>
    <w:rsid w:val="00532FDD"/>
    <w:pPr>
      <w:numPr>
        <w:numId w:val="22"/>
      </w:numPr>
      <w:tabs>
        <w:tab w:val="num" w:pos="360"/>
      </w:tabs>
      <w:suppressAutoHyphens w:val="0"/>
      <w:autoSpaceDN w:val="1"/>
      <w:spacing w:after="20" w:before="20"/>
      <w:ind w:left="0" w:firstLine="0"/>
      <w:textAlignment w:val="auto"/>
    </w:pPr>
    <w:rPr>
      <w:rFonts w:ascii="Arial" w:cs="Arial" w:eastAsia="Calibri" w:hAnsi="Arial"/>
      <w:b w:val="1"/>
      <w:color w:val="auto"/>
      <w:sz w:val="22"/>
      <w:szCs w:val="36"/>
      <w:lang w:eastAsia="en-GB"/>
    </w:rPr>
  </w:style>
  <w:style w:type="paragraph" w:styleId="FALevel1" w:customStyle="1">
    <w:name w:val="FA: Level 1"/>
    <w:basedOn w:val="Normal"/>
    <w:link w:val="FALevel1Char"/>
    <w:qFormat w:val="1"/>
    <w:rsid w:val="00532FDD"/>
    <w:pPr>
      <w:widowControl w:val="1"/>
      <w:numPr>
        <w:ilvl w:val="1"/>
        <w:numId w:val="22"/>
      </w:numPr>
      <w:suppressAutoHyphens w:val="0"/>
      <w:autoSpaceDN w:val="1"/>
      <w:spacing w:after="280" w:before="120" w:line="259" w:lineRule="auto"/>
      <w:textAlignment w:val="auto"/>
    </w:pPr>
    <w:rPr>
      <w:rFonts w:ascii="Arial" w:cs="Arial" w:hAnsi="Arial" w:eastAsiaTheme="minorHAnsi"/>
    </w:rPr>
  </w:style>
  <w:style w:type="character" w:styleId="FALevel1Char" w:customStyle="1">
    <w:name w:val="FA: Level 1 Char"/>
    <w:basedOn w:val="DefaultParagraphFont"/>
    <w:link w:val="FALevel1"/>
    <w:rsid w:val="00532FDD"/>
    <w:rPr>
      <w:rFonts w:ascii="Arial" w:cs="Arial" w:hAnsi="Arial" w:eastAsiaTheme="minorHAnsi"/>
    </w:rPr>
  </w:style>
  <w:style w:type="paragraph" w:styleId="FALevel2" w:customStyle="1">
    <w:name w:val="FA: Level 2"/>
    <w:basedOn w:val="Normal"/>
    <w:link w:val="FALevel2Char"/>
    <w:qFormat w:val="1"/>
    <w:rsid w:val="00532FDD"/>
    <w:pPr>
      <w:widowControl w:val="1"/>
      <w:numPr>
        <w:ilvl w:val="2"/>
        <w:numId w:val="22"/>
      </w:numPr>
      <w:suppressAutoHyphens w:val="0"/>
      <w:autoSpaceDN w:val="1"/>
      <w:spacing w:after="280" w:before="120" w:line="259" w:lineRule="auto"/>
      <w:textAlignment w:val="auto"/>
    </w:pPr>
    <w:rPr>
      <w:rFonts w:ascii="Arial" w:cs="Arial" w:hAnsi="Arial" w:eastAsiaTheme="minorHAnsi"/>
    </w:rPr>
  </w:style>
  <w:style w:type="character" w:styleId="FALevel2Char" w:customStyle="1">
    <w:name w:val="FA: Level 2 Char"/>
    <w:basedOn w:val="DefaultParagraphFont"/>
    <w:link w:val="FALevel2"/>
    <w:rsid w:val="00532FDD"/>
    <w:rPr>
      <w:rFonts w:ascii="Arial" w:cs="Arial" w:hAnsi="Arial" w:eastAsiaTheme="minorHAnsi"/>
    </w:rPr>
  </w:style>
  <w:style w:type="character" w:styleId="Heading1Char" w:customStyle="1">
    <w:name w:val="Heading 1 Char"/>
    <w:basedOn w:val="DefaultParagraphFont"/>
    <w:link w:val="Heading1"/>
    <w:uiPriority w:val="9"/>
    <w:rsid w:val="00532FDD"/>
    <w:rPr>
      <w:rFonts w:asciiTheme="majorHAnsi" w:cstheme="majorBidi" w:eastAsiaTheme="majorEastAsia" w:hAnsiTheme="majorHAnsi"/>
      <w:color w:val="2f5496" w:themeColor="accent1" w:themeShade="0000BF"/>
      <w:sz w:val="32"/>
      <w:szCs w:val="32"/>
    </w:rPr>
  </w:style>
  <w:style w:type="paragraph" w:styleId="FABulletPoints" w:customStyle="1">
    <w:name w:val="FA: Bullet Points"/>
    <w:basedOn w:val="Normal"/>
    <w:link w:val="FABulletPointsChar"/>
    <w:qFormat w:val="1"/>
    <w:rsid w:val="00532FDD"/>
    <w:pPr>
      <w:widowControl w:val="1"/>
      <w:numPr>
        <w:numId w:val="23"/>
      </w:numPr>
      <w:suppressAutoHyphens w:val="0"/>
      <w:autoSpaceDN w:val="1"/>
      <w:textAlignment w:val="auto"/>
    </w:pPr>
    <w:rPr>
      <w:rFonts w:ascii="Arial" w:cs="Arial" w:hAnsi="Arial" w:eastAsiaTheme="minorHAnsi"/>
    </w:rPr>
  </w:style>
  <w:style w:type="character" w:styleId="FABulletPointsChar" w:customStyle="1">
    <w:name w:val="FA: Bullet Points Char"/>
    <w:basedOn w:val="DefaultParagraphFont"/>
    <w:link w:val="FABulletPoints"/>
    <w:rsid w:val="00532FDD"/>
    <w:rPr>
      <w:rFonts w:ascii="Arial" w:cs="Arial" w:hAnsi="Arial" w:eastAsiaTheme="minorHAnsi"/>
    </w:rPr>
  </w:style>
  <w:style w:type="paragraph" w:styleId="Revision">
    <w:name w:val="Revision"/>
    <w:hidden w:val="1"/>
    <w:uiPriority w:val="99"/>
    <w:semiHidden w:val="1"/>
    <w:rsid w:val="00CE0EDB"/>
    <w:pPr>
      <w:widowControl w:val="1"/>
      <w:suppressAutoHyphens w:val="0"/>
      <w:autoSpaceDN w:val="1"/>
      <w:textAlignment w:val="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QmUu3DoWkEbUBuRYa+1ZQ0aPg==">AMUW2mXc5z2/7FMnhXBAoH+aSVnIKFiKv4Ggut6pN9LxpADTJ0aeEjaRRZs7HyHf8VyPcc5JMpiG0z+409V7vmT/SL8VD73i/LQCwFv36288BLT0EewEl0ZPUkfu6jCJ1lAPSL+MK1t9tZ8n3ZJiSM2OoVTLUH4aRkkN6TLafXt9BSWLEAZ937qI05SMa8hiwg4ESPbZoctik35OTSlpRfbuySgDbf7bzLZPfgQqQAGkoBneU3rvZw4eIt7Oo2FP4t9WQTvHDRZkGojzqZlGg8H0XwWSDqJl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2020-10-16T08:22:00Z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CurrentVersion">
    <vt:lpwstr>15 November 2017 D1V4</vt:lpwstr>
  </property>
</Properties>
</file>