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9 (Cyber Essentials Scheme) </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90" w:right="0" w:hanging="6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0"/>
        <w:gridCol w:w="5084"/>
        <w:tblGridChange w:id="0">
          <w:tblGrid>
            <w:gridCol w:w="3150"/>
            <w:gridCol w:w="5084"/>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Scheme"</w: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at: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https://www.cyberessentials.ncsc.gov.uk/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Basic Certificate"</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certificate awarded on the basis  of self-assessment, verified by an independent certification body, under the Cyber Essentials Scheme and is the basic level of assurance;</w:t>
            </w:r>
            <w:r w:rsidDel="00000000" w:rsidR="00000000" w:rsidRPr="00000000">
              <w:rPr>
                <w:rtl w:val="0"/>
              </w:rPr>
            </w:r>
          </w:p>
        </w:tc>
      </w:tr>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Certificate"</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 Essentials Basic Certificate to be provided by the Supplier as set out in the Framework Award Form</w:t>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 Scheme Data"</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sensitive and personal information and other relevant information as referred to in the Cyber Essentials Scheme; and</w:t>
            </w:r>
            <w:r w:rsidDel="00000000" w:rsidR="00000000" w:rsidRPr="00000000">
              <w:rPr>
                <w:rtl w:val="0"/>
              </w:rPr>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Certification do you need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Where the Framework Award Form requires that the Supplier provide a Cyber Essentials Certificate prior to Fr</w:t>
      </w:r>
      <w:r w:rsidDel="00000000" w:rsidR="00000000" w:rsidRPr="00000000">
        <w:rPr>
          <w:rFonts w:ascii="Arial" w:cs="Arial" w:eastAsia="Arial" w:hAnsi="Arial"/>
          <w:sz w:val="24"/>
          <w:szCs w:val="24"/>
          <w:rtl w:val="0"/>
        </w:rPr>
        <w:t xml:space="preserve">amework Commencement 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valid Cyber Essentials Certificate to CCS. Where the Supplier fails to comply with this Paragraph it shall be prohibited from commencing the provision of Deliverables under any Contract until such time as the Supplier has evidenced to CCS its compliance with this Paragraph 2.1.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1"/>
          <w:i w:val="0"/>
          <w:smallCaps w:val="0"/>
          <w:strike w:val="0"/>
          <w:color w:val="000000"/>
          <w:sz w:val="24"/>
          <w:szCs w:val="24"/>
          <w:highlight w:val="yellow"/>
          <w:u w:val="none"/>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Where the Supplier continues to process data during the Contract Period of any Call-Off Contract the Supplier shall deliver to CCS evidence of renewal of the Cyber Essentials Certificate on each anniversary of the first applicable certificate obtained by the Supplier under Paragraph 2.1.</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Where the Supplier is due to process data after the Start date of the first Call-Off Contract but before the end of the Framework Period or Contact Period of the last Call-Off Contract, the Supplier shall deliver to CCS evidence of:</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368" w:right="0" w:hanging="50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2.3.1 a valid and current Cyber Essentials Certificate before the Supplier    processes any such Cyber Essentials Scheme Data;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368" w:right="0" w:hanging="50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2.3.2 renewal of the valid Cyber Essentials Certificate on each  anniversary of the first Cyber Essentials Scheme certificate obtained by the Supplier under Paragraph 2.1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In the event that the Supplier fails to comply with Paragraphs 2.2 or 2.3 (as applicable), CCS reserves the right to terminate this Contract for material Default.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The Supplier shall ensure that all Sub-Contracts with Subcontractors who </w:t>
      </w:r>
      <w:bookmarkStart w:colFirst="0" w:colLast="0" w:name="bookmark=id.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Cyber Essentials Data contain provisions no less onerous on the Subcontractors than those imposed on the Supplier under this Contract in respect of the Cyber Essentials Scheme under Paragraph 2.1 of this Schedule.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1"/>
          <w:i w:val="0"/>
          <w:smallCaps w:val="0"/>
          <w:strike w:val="0"/>
          <w:color w:val="000000"/>
          <w:sz w:val="24"/>
          <w:szCs w:val="24"/>
          <w:u w:val="none"/>
          <w:shd w:fill="auto" w:val="clear"/>
          <w:vertAlign w:val="baseline"/>
        </w:rPr>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This Schedule shall survive termination or expiry of this Contract and each and any Call-Off Contract.</w:t>
      </w: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Model Version: v3.0</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RM6194</w:t>
      <w:tab/>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v3.2</w:t>
      <w:tab/>
    </w:r>
    <w:r w:rsidDel="00000000" w:rsidR="00000000" w:rsidRPr="00000000">
      <w:rPr>
        <w:rFonts w:ascii="Arial" w:cs="Arial" w:eastAsia="Arial" w:hAnsi="Arial"/>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9 (Cyber Essential Scheme)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9 (Cyber Essential Scheme)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w:t>
    </w:r>
    <w:r w:rsidDel="00000000" w:rsidR="00000000" w:rsidRPr="00000000">
      <w:rPr>
        <w:rFonts w:ascii="Arial" w:cs="Arial" w:eastAsia="Arial" w:hAnsi="Arial"/>
        <w:sz w:val="20"/>
        <w:szCs w:val="20"/>
        <w:rtl w:val="0"/>
      </w:rPr>
      <w:t xml:space="preserve">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94"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421"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pPr>
  </w:style>
  <w:style w:type="paragraph" w:styleId="GPSL2NumberedBoldHeading" w:customStyle="1">
    <w:name w:val="GPS L2 Numbered Bold Heading"/>
    <w:basedOn w:val="Normal"/>
    <w:qFormat w:val="1"/>
    <w:pPr>
      <w:numPr>
        <w:ilvl w:val="1"/>
        <w:numId w:val="1"/>
      </w:numPr>
      <w:adjustRightInd w:val="0"/>
      <w:spacing w:after="120" w:before="120" w:line="240" w:lineRule="auto"/>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DefinitionL2" w:customStyle="1">
    <w:name w:val="GPS Definition L2"/>
    <w:basedOn w:val="Normal"/>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L2Numbered" w:customStyle="1">
    <w:name w:val="GPS L2 Numbered"/>
    <w:basedOn w:val="GPSL2NumberedBoldHeading"/>
    <w:pPr>
      <w:numPr>
        <w:ilvl w:val="0"/>
        <w:numId w:val="0"/>
      </w:numPr>
      <w:tabs>
        <w:tab w:val="left" w:pos="709"/>
      </w:tabs>
      <w:autoSpaceDN w:val="0"/>
      <w:adjustRightInd w:val="1"/>
      <w:ind w:left="1494" w:hanging="360"/>
    </w:pPr>
    <w:rPr>
      <w:b w:val="0"/>
    </w:rPr>
  </w:style>
  <w:style w:type="paragraph" w:styleId="GPSDefinitionL4" w:customStyle="1">
    <w:name w:val="GPS Definition L4"/>
    <w:basedOn w:val="Normal"/>
    <w:pPr>
      <w:numPr>
        <w:numId w:val="2"/>
      </w:numPr>
      <w:tabs>
        <w:tab w:val="left" w:pos="-2656"/>
        <w:tab w:val="left" w:pos="-2440"/>
      </w:tabs>
      <w:overflowPunct w:val="0"/>
      <w:autoSpaceDE w:val="0"/>
      <w:autoSpaceDN w:val="0"/>
      <w:spacing w:after="120" w:line="240" w:lineRule="auto"/>
      <w:jc w:val="both"/>
      <w:textAlignment w:val="baseline"/>
    </w:pPr>
    <w:rPr>
      <w:rFonts w:ascii="Arial" w:cs="Arial" w:eastAsia="Times New Roman" w:hAnsi="Arial"/>
    </w:rPr>
  </w:style>
  <w:style w:type="numbering" w:styleId="LFO12" w:customStyle="1">
    <w:name w:val="LFO12"/>
    <w:basedOn w:val="NoList"/>
    <w:pPr>
      <w:numPr>
        <w:numId w:val="2"/>
      </w:numPr>
    </w:p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7555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yberessentials.ncsc.gov.uk/"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1bv0qq3WM6FIKWZ/rt2qlsbAw==">AMUW2mWUQ7qipuqlJI3CsuE+JOe/JW6fwy0e4SNpImtjh4k/6FV+LGTVB8iDEUXbs1C+LnsWdi/u6oNU1n952/ndsBFj3nYzK4UUESvqPlui41kWg/X331w7OYYz+WF8AX2b5BvH+Gt3RfB2EVgzOWGik8f0vjEwqUu0k9LVXSob52kpV4doOgw=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2019-02-07T14:25:00Z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