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11 (Processing Data)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Status of the Controller</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A Party may act as:</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there other Party is also “Controller”,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one Party is Controller and the other Party its Processor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with undue delay if it considers that any of the Controller’s instructions infringe the Data Protection Legislation.</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Services;</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0"/>
    <w:bookmarkEnd w:id="0"/>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1"/>
    <w:bookmarkEnd w:id="1"/>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2"/>
    <w:bookmarkEnd w:id="2"/>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5">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3"/>
      <w:bookmarkEnd w:id="3"/>
      <w:r w:rsidDel="00000000" w:rsidR="00000000" w:rsidRPr="00000000">
        <w:rPr>
          <w:rtl w:val="0"/>
        </w:rPr>
      </w:r>
    </w:p>
    <w:p w:rsidR="00000000" w:rsidDel="00000000" w:rsidP="00000000" w:rsidRDefault="00000000" w:rsidRPr="00000000" w14:paraId="00000016">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7">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4"/>
    <w:bookmarkEnd w:id="4"/>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1C">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D">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1E">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1F">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5"/>
    <w:bookmarkEnd w:id="5"/>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EU unless the prior written consent of the Controller has been obtained and the following conditions are fulfilled:</w:t>
      </w:r>
    </w:p>
    <w:bookmarkStart w:colFirst="0" w:colLast="0" w:name="bookmark=id.3dy6vkm" w:id="6"/>
    <w:bookmarkEnd w:id="6"/>
    <w:p w:rsidR="00000000" w:rsidDel="00000000" w:rsidP="00000000" w:rsidRDefault="00000000" w:rsidRPr="00000000" w14:paraId="00000021">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GDPR Article 46 or LED Article 37) as determined by the Controller;</w:t>
      </w:r>
    </w:p>
    <w:bookmarkStart w:colFirst="0" w:colLast="0" w:name="bookmark=id.1t3h5sf" w:id="7"/>
    <w:bookmarkEnd w:id="7"/>
    <w:p w:rsidR="00000000" w:rsidDel="00000000" w:rsidP="00000000" w:rsidRDefault="00000000" w:rsidRPr="00000000" w14:paraId="00000022">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8"/>
    <w:bookmarkEnd w:id="8"/>
    <w:p w:rsidR="00000000" w:rsidDel="00000000" w:rsidP="00000000" w:rsidRDefault="00000000" w:rsidRPr="00000000" w14:paraId="00000023">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9"/>
    <w:bookmarkEnd w:id="9"/>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0"/>
    <w:bookmarkEnd w:id="10"/>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1"/>
    <w:bookmarkEnd w:id="11"/>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Subject to paragraph 7 of this Joint Schedule 11, the Processor  shall notify the Controller with undue delay if in relation to it Processing Personal Data under or in connection with the Contract it:</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6 of this Joint Schedule 11 shall include the provision of further information to the Controller, as details become available.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GDPR or Personal Data relating to criminal convictions and offences referred to in Article 10 of the GDPR; or</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the Parties are Joint Controllers of Personal Data </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GDPR Article 26 based on the terms set out in Annex 2 to this Joint Schedule 11 (</w:t>
      </w:r>
      <w:r w:rsidDel="00000000" w:rsidR="00000000" w:rsidRPr="00000000">
        <w:rPr>
          <w:rFonts w:ascii="Arial" w:cs="Arial" w:eastAsia="Arial" w:hAnsi="Arial"/>
          <w:i w:val="1"/>
          <w:sz w:val="24"/>
          <w:szCs w:val="24"/>
          <w:rtl w:val="0"/>
        </w:rPr>
        <w:t xml:space="preserve">Processing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Controllers of Personal Data </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7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GDPR in respect of the Processing of Personal Data for the purposes of the Contract. </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GDPR); and</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GDPR and shall make the record available to the other Party upon reasonable request.</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2">
      <w:pPr>
        <w:numPr>
          <w:ilvl w:val="3"/>
          <w:numId w:val="1"/>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3">
      <w:pPr>
        <w:numPr>
          <w:ilvl w:val="3"/>
          <w:numId w:val="1"/>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5F">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0">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1">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2">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3">
      <w:pPr>
        <w:keepNext w:val="1"/>
        <w:ind w:left="720" w:firstLine="0"/>
        <w:rPr>
          <w:rFonts w:ascii="Arial" w:cs="Arial" w:eastAsia="Arial" w:hAnsi="Arial"/>
          <w:sz w:val="24"/>
          <w:szCs w:val="24"/>
        </w:rPr>
      </w:pPr>
      <w:r w:rsidDel="00000000" w:rsidR="00000000" w:rsidRPr="00000000">
        <w:rPr>
          <w:rtl w:val="0"/>
        </w:rPr>
      </w:r>
    </w:p>
    <w:tbl>
      <w:tblPr>
        <w:tblStyle w:val="Table1"/>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trHeight w:val="700" w:hRule="atLeast"/>
        </w:trPr>
        <w:tc>
          <w:tcPr>
            <w:shd w:fill="bfbfbf" w:val="clear"/>
            <w:vAlign w:val="center"/>
          </w:tcPr>
          <w:p w:rsidR="00000000" w:rsidDel="00000000" w:rsidP="00000000" w:rsidRDefault="00000000" w:rsidRPr="00000000" w14:paraId="0000006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trHeight w:val="1620" w:hRule="atLeast"/>
        </w:trPr>
        <w:tc>
          <w:tcPr>
            <w:shd w:fill="auto" w:val="clear"/>
          </w:tcPr>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2 to paragraph 15 and for the purposes of the Data Protection Legislation, the Relevant Authority is the Controller and the Supplier is the Processor of the following Personal Data:</w:t>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Personal Data which the purposes and means of the Processing by the Supplier is determined by the Relevant Authority]</w:t>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6D">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i w:val="1"/>
                <w:sz w:val="24"/>
                <w:szCs w:val="24"/>
                <w:rtl w:val="0"/>
              </w:rPr>
              <w:t xml:space="preserve">to paragraph 15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Personal Data which the purposes and means of the Processing by the Relevant Authority  is determined by the Supplier]</w:t>
            </w:r>
          </w:p>
          <w:p w:rsidR="00000000" w:rsidDel="00000000" w:rsidP="00000000" w:rsidRDefault="00000000" w:rsidRPr="00000000" w14:paraId="00000071">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5">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Personal Data which the purposes and means of the Processing is determined by the both Parties together]</w:t>
            </w:r>
          </w:p>
          <w:p w:rsidR="00000000" w:rsidDel="00000000" w:rsidP="00000000" w:rsidRDefault="00000000" w:rsidRPr="00000000" w14:paraId="0000007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7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7A">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B">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Business contact details of Supplier Personnel for which the Supplier is the Controller,</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Business contact details of 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7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0">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1">
            <w:pPr>
              <w:rPr>
                <w:rFonts w:ascii="Arial" w:cs="Arial" w:eastAsia="Arial" w:hAnsi="Arial"/>
                <w:sz w:val="24"/>
                <w:szCs w:val="24"/>
              </w:rPr>
            </w:pPr>
            <w:r w:rsidDel="00000000" w:rsidR="00000000" w:rsidRPr="00000000">
              <w:rPr>
                <w:rtl w:val="0"/>
              </w:rPr>
            </w:r>
          </w:p>
        </w:tc>
      </w:tr>
      <w:tr>
        <w:trPr>
          <w:trHeight w:val="1460" w:hRule="atLeast"/>
        </w:trPr>
        <w:tc>
          <w:tcPr>
            <w:shd w:fill="auto" w:val="clear"/>
          </w:tcPr>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[Clearly set out the duration of the Processing including dates]</w:t>
            </w:r>
            <w:r w:rsidDel="00000000" w:rsidR="00000000" w:rsidRPr="00000000">
              <w:rPr>
                <w:rtl w:val="0"/>
              </w:rPr>
            </w:r>
          </w:p>
        </w:tc>
      </w:tr>
      <w:tr>
        <w:trPr>
          <w:trHeight w:val="1520" w:hRule="atLeast"/>
        </w:trPr>
        <w:tc>
          <w:tcPr>
            <w:shd w:fill="auto" w:val="clear"/>
          </w:tcPr>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85">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be as specific as possible, but make sure that you cover all intended purposes. </w:t>
            </w:r>
          </w:p>
          <w:p w:rsidR="00000000" w:rsidDel="00000000" w:rsidP="00000000" w:rsidRDefault="00000000" w:rsidRPr="00000000" w14:paraId="00000086">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purpose might include: employment processing, statutory obligation, recruitment assessment etc]</w:t>
            </w:r>
            <w:r w:rsidDel="00000000" w:rsidR="00000000" w:rsidRPr="00000000">
              <w:rPr>
                <w:rtl w:val="0"/>
              </w:rPr>
            </w:r>
          </w:p>
        </w:tc>
      </w:tr>
      <w:tr>
        <w:trPr>
          <w:trHeight w:val="1400" w:hRule="atLeast"/>
        </w:trPr>
        <w:tc>
          <w:tcPr>
            <w:shd w:fill="auto" w:val="clea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here include: name, address, date of birth, NI number, telephone number, pay, images, biometric data etc]</w:t>
            </w:r>
            <w:r w:rsidDel="00000000" w:rsidR="00000000" w:rsidRPr="00000000">
              <w:rPr>
                <w:rtl w:val="0"/>
              </w:rPr>
            </w:r>
          </w:p>
        </w:tc>
      </w:tr>
      <w:tr>
        <w:trPr>
          <w:trHeight w:val="1560" w:hRule="atLeast"/>
        </w:trPr>
        <w:tc>
          <w:tcPr>
            <w:shd w:fill="auto" w:val="clear"/>
          </w:tcPr>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include: Staff (including volunteers, agents, and temporary workers), customers/ clients, suppliers, patients, students / pupils, members of the public, users of a particular</w:t>
              <w:br w:type="textWrapping"/>
              <w:t xml:space="preserve">website etc]</w:t>
            </w:r>
            <w:r w:rsidDel="00000000" w:rsidR="00000000" w:rsidRPr="00000000">
              <w:rPr>
                <w:rtl w:val="0"/>
              </w:rPr>
            </w:r>
          </w:p>
        </w:tc>
      </w:tr>
      <w:tr>
        <w:trPr>
          <w:trHeight w:val="1660" w:hRule="atLeast"/>
        </w:trPr>
        <w:tc>
          <w:tcPr>
            <w:shd w:fill="auto" w:val="clear"/>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[Describe how long the data will be retained for, how it be returned or destroyed]</w:t>
            </w:r>
            <w:r w:rsidDel="00000000" w:rsidR="00000000" w:rsidRPr="00000000">
              <w:rPr>
                <w:rtl w:val="0"/>
              </w:rPr>
            </w:r>
          </w:p>
        </w:tc>
      </w:tr>
    </w:tbl>
    <w:p w:rsidR="00000000" w:rsidDel="00000000" w:rsidP="00000000" w:rsidRDefault="00000000" w:rsidRPr="00000000" w14:paraId="0000008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92">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93">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94">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95">
      <w:pPr>
        <w:ind w:left="993"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w:t>
        <w:tab/>
        <w:t xml:space="preserve">is the exclusive point of contact for Data Subjects and is responsible for all steps necessary to comply with the GDPR regarding the exercise by Data Subjects of their rights under the GDPR;</w:t>
      </w:r>
    </w:p>
    <w:p w:rsidR="00000000" w:rsidDel="00000000" w:rsidP="00000000" w:rsidRDefault="00000000" w:rsidRPr="00000000" w14:paraId="00000096">
      <w:pPr>
        <w:ind w:left="993"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 </w:t>
        <w:tab/>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97">
      <w:pPr>
        <w:ind w:left="993"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w:t>
        <w:tab/>
        <w:t xml:space="preserve">is solely responsible for the Parties’ compliance with all duties to provide information to Data Subjects under Articles 13 and 14 of the GDPR;</w:t>
      </w:r>
    </w:p>
    <w:p w:rsidR="00000000" w:rsidDel="00000000" w:rsidP="00000000" w:rsidRDefault="00000000" w:rsidRPr="00000000" w14:paraId="00000098">
      <w:pPr>
        <w:ind w:left="993"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w:t>
        <w:tab/>
        <w:t xml:space="preserve">is responsible for obtaining the informed consent of Data Subjects, in accordance with the GDPR, for Processing in connection with the Services where consent is the relevant legal basis for that Processing; and</w:t>
      </w:r>
    </w:p>
    <w:p w:rsidR="00000000" w:rsidDel="00000000" w:rsidP="00000000" w:rsidRDefault="00000000" w:rsidRPr="00000000" w14:paraId="00000099">
      <w:pPr>
        <w:ind w:left="993" w:hanging="566"/>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w:t>
        <w:tab/>
        <w:t xml:space="preserve">shall make available to Data Subjects the essence of this Annex (and notify them of any changes to it) concerning the allocation of responsibilities as Joint Controller</w:t>
      </w:r>
      <w:r w:rsidDel="00000000" w:rsidR="00000000" w:rsidRPr="00000000">
        <w:rPr>
          <w:rFonts w:ascii="Arial" w:cs="Arial" w:eastAsia="Arial" w:hAnsi="Arial"/>
          <w:sz w:val="24"/>
          <w:szCs w:val="24"/>
          <w:rtl w:val="0"/>
        </w:rPr>
        <w:t xml:space="preserve"> and its role as exclusive point of contact, the Parties having used their best endeavours to agree the terms of that essence</w:t>
      </w:r>
      <w:r w:rsidDel="00000000" w:rsidR="00000000" w:rsidRPr="00000000">
        <w:rPr>
          <w:rFonts w:ascii="Arial" w:cs="Arial" w:eastAsia="Arial" w:hAnsi="Arial"/>
          <w:sz w:val="24"/>
          <w:szCs w:val="24"/>
          <w:highlight w:val="white"/>
          <w:rtl w:val="0"/>
        </w:rPr>
        <w:t xml:space="preserve">. This must be outlined in the [</w:t>
      </w:r>
      <w:r w:rsidDel="00000000" w:rsidR="00000000" w:rsidRPr="00000000">
        <w:rPr>
          <w:rFonts w:ascii="Arial" w:cs="Arial" w:eastAsia="Arial" w:hAnsi="Arial"/>
          <w:sz w:val="24"/>
          <w:szCs w:val="24"/>
          <w:highlight w:val="yellow"/>
          <w:rtl w:val="0"/>
        </w:rPr>
        <w:t xml:space="preserve">Supplier’s/Relevant Authority’s</w:t>
      </w:r>
      <w:r w:rsidDel="00000000" w:rsidR="00000000" w:rsidRPr="00000000">
        <w:rPr>
          <w:rFonts w:ascii="Arial" w:cs="Arial" w:eastAsia="Arial" w:hAnsi="Arial"/>
          <w:sz w:val="24"/>
          <w:szCs w:val="24"/>
          <w:highlight w:val="white"/>
          <w:rtl w:val="0"/>
        </w:rPr>
        <w:t xml:space="preserve">] privacy policy </w:t>
      </w:r>
      <w:r w:rsidDel="00000000" w:rsidR="00000000" w:rsidRPr="00000000">
        <w:rPr>
          <w:rFonts w:ascii="Arial" w:cs="Arial" w:eastAsia="Arial" w:hAnsi="Arial"/>
          <w:sz w:val="24"/>
          <w:szCs w:val="24"/>
          <w:rtl w:val="0"/>
        </w:rPr>
        <w:t xml:space="preserve">(which must be readily available by hyperlink or otherwise on all of its public facing services and marketing).</w:t>
      </w:r>
    </w:p>
    <w:p w:rsidR="00000000" w:rsidDel="00000000" w:rsidP="00000000" w:rsidRDefault="00000000" w:rsidRPr="00000000" w14:paraId="0000009A">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9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Undertakings of both Parties</w:t>
      </w:r>
    </w:p>
    <w:p w:rsidR="00000000" w:rsidDel="00000000" w:rsidP="00000000" w:rsidRDefault="00000000" w:rsidRPr="00000000" w14:paraId="0000009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the Relevant Authority each undertake that they shall: </w:t>
      </w:r>
    </w:p>
    <w:p w:rsidR="00000000" w:rsidDel="00000000" w:rsidP="00000000" w:rsidRDefault="00000000" w:rsidRPr="00000000" w14:paraId="0000009D">
      <w:pPr>
        <w:ind w:left="1203" w:hanging="566"/>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(a)</w:t>
        <w:tab/>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r w:rsidDel="00000000" w:rsidR="00000000" w:rsidRPr="00000000">
        <w:rPr>
          <w:rtl w:val="0"/>
        </w:rPr>
      </w:r>
    </w:p>
    <w:p w:rsidR="00000000" w:rsidDel="00000000" w:rsidP="00000000" w:rsidRDefault="00000000" w:rsidRPr="00000000" w14:paraId="0000009E">
      <w:pPr>
        <w:ind w:left="177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(i)</w:t>
        <w:tab/>
        <w:t xml:space="preserve">the volume of Data Subject Access Request (or purported Data Subject  Access Requests) from Data Subjects (or third parties on their behalf);</w:t>
      </w:r>
    </w:p>
    <w:p w:rsidR="00000000" w:rsidDel="00000000" w:rsidP="00000000" w:rsidRDefault="00000000" w:rsidRPr="00000000" w14:paraId="0000009F">
      <w:pPr>
        <w:ind w:left="177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(ii)</w:t>
        <w:tab/>
        <w:t xml:space="preserve">the volume of requests from Data Subjects (or third parties on their behalf) to rectify, block or erase any Personal Data; </w:t>
      </w:r>
    </w:p>
    <w:p w:rsidR="00000000" w:rsidDel="00000000" w:rsidP="00000000" w:rsidRDefault="00000000" w:rsidRPr="00000000" w14:paraId="000000A0">
      <w:pPr>
        <w:ind w:left="177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(iii)</w:t>
        <w:tab/>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A1">
      <w:pPr>
        <w:ind w:left="177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(iv)</w:t>
        <w:tab/>
        <w:t xml:space="preserve">any communications from the Information Commissioner or any other regulatory authority in connection with Personal Data; and</w:t>
      </w:r>
    </w:p>
    <w:p w:rsidR="00000000" w:rsidDel="00000000" w:rsidP="00000000" w:rsidRDefault="00000000" w:rsidRPr="00000000" w14:paraId="000000A2">
      <w:pPr>
        <w:ind w:left="177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(v)</w:t>
        <w:tab/>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A3">
      <w:pPr>
        <w:ind w:left="120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A4">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(b)</w:t>
        <w:tab/>
      </w:r>
      <w:r w:rsidDel="00000000" w:rsidR="00000000" w:rsidRPr="00000000">
        <w:rPr>
          <w:rFonts w:ascii="Arial" w:cs="Arial" w:eastAsia="Arial" w:hAnsi="Arial"/>
          <w:sz w:val="24"/>
          <w:szCs w:val="24"/>
          <w:highlight w:val="white"/>
          <w:rtl w:val="0"/>
        </w:rPr>
        <w:t xml:space="preserve">notify each other immediately if it receives any</w:t>
      </w:r>
      <w:r w:rsidDel="00000000" w:rsidR="00000000" w:rsidRPr="00000000">
        <w:rPr>
          <w:rFonts w:ascii="Arial" w:cs="Arial" w:eastAsia="Arial" w:hAnsi="Arial"/>
          <w:sz w:val="24"/>
          <w:szCs w:val="24"/>
          <w:rtl w:val="0"/>
        </w:rPr>
        <w:t xml:space="preserve"> request, complaint or communication made as referred to in Clauses 2.1(a)(i) to (v); </w:t>
      </w:r>
    </w:p>
    <w:p w:rsidR="00000000" w:rsidDel="00000000" w:rsidP="00000000" w:rsidRDefault="00000000" w:rsidRPr="00000000" w14:paraId="000000A5">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A6">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 </w:t>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A7">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request from the Data Subject only the minimum information necessary to provide the Services and treat such extracted information as Confidential Information;</w:t>
      </w:r>
    </w:p>
    <w:p w:rsidR="00000000" w:rsidDel="00000000" w:rsidP="00000000" w:rsidRDefault="00000000" w:rsidRPr="00000000" w14:paraId="000000A8">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w:t>
        <w:tab/>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A9">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(g)</w:t>
        <w:tab/>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AA">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w:t>
        <w:tab/>
        <w:t xml:space="preserve">are aware of and comply with their duties under this Annex 2 (Joint Controller Agreement) and those in respect of Confidential Information </w:t>
      </w:r>
    </w:p>
    <w:p w:rsidR="00000000" w:rsidDel="00000000" w:rsidP="00000000" w:rsidRDefault="00000000" w:rsidRPr="00000000" w14:paraId="000000AB">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(ii)</w:t>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000000" w:rsidDel="00000000" w:rsidP="00000000" w:rsidRDefault="00000000" w:rsidRPr="00000000" w14:paraId="000000AC">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(iii)</w:t>
        <w:tab/>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AD">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w:t>
        <w:tab/>
        <w:t xml:space="preserve">ensure that it has in place Protective Measures as appropriate to protect against a Personal Data Breach having taken account of the:</w:t>
      </w:r>
    </w:p>
    <w:p w:rsidR="00000000" w:rsidDel="00000000" w:rsidP="00000000" w:rsidRDefault="00000000" w:rsidRPr="00000000" w14:paraId="000000AE">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    nature of the data to be protected;</w:t>
      </w:r>
    </w:p>
    <w:p w:rsidR="00000000" w:rsidDel="00000000" w:rsidP="00000000" w:rsidRDefault="00000000" w:rsidRPr="00000000" w14:paraId="000000AF">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   harm that might result from a Personal Data Breach;</w:t>
      </w:r>
    </w:p>
    <w:p w:rsidR="00000000" w:rsidDel="00000000" w:rsidP="00000000" w:rsidRDefault="00000000" w:rsidRPr="00000000" w14:paraId="000000B0">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(iii)   state of technological development; and</w:t>
      </w:r>
    </w:p>
    <w:p w:rsidR="00000000" w:rsidDel="00000000" w:rsidP="00000000" w:rsidRDefault="00000000" w:rsidRPr="00000000" w14:paraId="000000B1">
      <w:pPr>
        <w:ind w:left="1769"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(iv)   cost of implementing any measures;</w:t>
      </w:r>
    </w:p>
    <w:p w:rsidR="00000000" w:rsidDel="00000000" w:rsidP="00000000" w:rsidRDefault="00000000" w:rsidRPr="00000000" w14:paraId="000000B2">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  </w:t>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B3">
      <w:pPr>
        <w:ind w:left="1203"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  </w:t>
        <w:tab/>
        <w:t xml:space="preserve">ensure that it notifies the other Party as soon as it becomes aware of a Personal Data Breach. </w:t>
      </w:r>
    </w:p>
    <w:p w:rsidR="00000000" w:rsidDel="00000000" w:rsidP="00000000" w:rsidRDefault="00000000" w:rsidRPr="00000000" w14:paraId="000000B4">
      <w:pPr>
        <w:ind w:left="11"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2.2 </w:t>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B5">
      <w:pPr>
        <w:ind w:left="11" w:hanging="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1"/>
          <w:sz w:val="24"/>
          <w:szCs w:val="24"/>
          <w:rtl w:val="0"/>
        </w:rPr>
        <w:t xml:space="preserve">. Data Protection Breach</w:t>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Arial" w:cs="Arial" w:eastAsia="Arial" w:hAnsi="Arial"/>
          <w:sz w:val="24"/>
          <w:szCs w:val="24"/>
          <w:rtl w:val="0"/>
        </w:rPr>
        <w:t xml:space="preserve">3.1 Without prejudice to clause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rsidR="00000000" w:rsidDel="00000000" w:rsidP="00000000" w:rsidRDefault="00000000" w:rsidRPr="00000000" w14:paraId="000000B7">
      <w:pPr>
        <w:rPr>
          <w:rFonts w:ascii="Arial" w:cs="Arial" w:eastAsia="Arial" w:hAnsi="Arial"/>
          <w:sz w:val="24"/>
          <w:szCs w:val="24"/>
        </w:rPr>
      </w:pPr>
      <w:r w:rsidDel="00000000" w:rsidR="00000000" w:rsidRPr="00000000">
        <w:rPr>
          <w:rFonts w:ascii="Arial" w:cs="Arial" w:eastAsia="Arial" w:hAnsi="Arial"/>
          <w:sz w:val="24"/>
          <w:szCs w:val="24"/>
          <w:rtl w:val="0"/>
        </w:rPr>
        <w:t xml:space="preserve">(a) sufficient information and in a timescale which allows the other Party to meet any obligations to report a Personal Data Breach under the Data Protection Legislation;</w:t>
      </w:r>
    </w:p>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sz w:val="24"/>
          <w:szCs w:val="24"/>
          <w:rtl w:val="0"/>
        </w:rPr>
        <w:t xml:space="preserve">(b) all reasonable assistance, including:</w:t>
      </w:r>
    </w:p>
    <w:p w:rsidR="00000000" w:rsidDel="00000000" w:rsidP="00000000" w:rsidRDefault="00000000" w:rsidRPr="00000000" w14:paraId="000000B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76" w:lineRule="auto"/>
        <w:ind w:left="127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B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76" w:lineRule="auto"/>
        <w:ind w:left="127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co-operation with the other Party including taking such reasonable steps as are directed by the Relevant Authority to assist in the investigation, mitigation and remediation of a Personal Data Breach;</w:t>
      </w:r>
    </w:p>
    <w:p w:rsidR="00000000" w:rsidDel="00000000" w:rsidP="00000000" w:rsidRDefault="00000000" w:rsidRPr="00000000" w14:paraId="000000BB">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76" w:lineRule="auto"/>
        <w:ind w:left="127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B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76" w:lineRule="auto"/>
        <w:ind w:left="127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BD">
      <w:pPr>
        <w:rPr>
          <w:rFonts w:ascii="Arial" w:cs="Arial" w:eastAsia="Arial" w:hAnsi="Arial"/>
          <w:sz w:val="24"/>
          <w:szCs w:val="24"/>
        </w:rPr>
      </w:pPr>
      <w:r w:rsidDel="00000000" w:rsidR="00000000" w:rsidRPr="00000000">
        <w:rPr>
          <w:rFonts w:ascii="Arial" w:cs="Arial" w:eastAsia="Arial" w:hAnsi="Arial"/>
          <w:sz w:val="24"/>
          <w:szCs w:val="24"/>
          <w:rtl w:val="0"/>
        </w:rPr>
        <w:t xml:space="preserve">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BE">
      <w:pPr>
        <w:rPr>
          <w:rFonts w:ascii="Arial" w:cs="Arial" w:eastAsia="Arial" w:hAnsi="Arial"/>
          <w:sz w:val="24"/>
          <w:szCs w:val="24"/>
        </w:rPr>
      </w:pPr>
      <w:r w:rsidDel="00000000" w:rsidR="00000000" w:rsidRPr="00000000">
        <w:rPr>
          <w:rFonts w:ascii="Arial" w:cs="Arial" w:eastAsia="Arial" w:hAnsi="Arial"/>
          <w:sz w:val="24"/>
          <w:szCs w:val="24"/>
          <w:rtl w:val="0"/>
        </w:rPr>
        <w:t xml:space="preserve">(a) the nature of the Personal Data Breach; </w:t>
      </w:r>
    </w:p>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(b) the nature of Personal Data affected;</w:t>
      </w:r>
    </w:p>
    <w:p w:rsidR="00000000" w:rsidDel="00000000" w:rsidP="00000000" w:rsidRDefault="00000000" w:rsidRPr="00000000" w14:paraId="000000C0">
      <w:pPr>
        <w:rPr>
          <w:rFonts w:ascii="Arial" w:cs="Arial" w:eastAsia="Arial" w:hAnsi="Arial"/>
          <w:sz w:val="24"/>
          <w:szCs w:val="24"/>
        </w:rPr>
      </w:pPr>
      <w:r w:rsidDel="00000000" w:rsidR="00000000" w:rsidRPr="00000000">
        <w:rPr>
          <w:rFonts w:ascii="Arial" w:cs="Arial" w:eastAsia="Arial" w:hAnsi="Arial"/>
          <w:sz w:val="24"/>
          <w:szCs w:val="24"/>
          <w:rtl w:val="0"/>
        </w:rPr>
        <w:t xml:space="preserve">(c) the categories and number of Data Subjects concerned;</w:t>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sz w:val="24"/>
          <w:szCs w:val="24"/>
          <w:rtl w:val="0"/>
        </w:rPr>
        <w:t xml:space="preserve">(d) the name and contact details of the Supplier’s Data Protection Officer or other relevant contact from whom more information may be obtained;</w:t>
      </w:r>
    </w:p>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(e) measures taken or proposed to be taken to address the Personal Data Breach; and</w:t>
      </w:r>
    </w:p>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(f) describe the likely consequences of the Personal Data Breach.</w:t>
      </w:r>
    </w:p>
    <w:p w:rsidR="00000000" w:rsidDel="00000000" w:rsidP="00000000" w:rsidRDefault="00000000" w:rsidRPr="00000000" w14:paraId="000000C4">
      <w:pPr>
        <w:keepNext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1"/>
          <w:sz w:val="24"/>
          <w:szCs w:val="24"/>
          <w:rtl w:val="0"/>
        </w:rPr>
        <w:t xml:space="preserve">. Audit</w:t>
      </w:r>
    </w:p>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shall permit:</w:t>
        <w:tab/>
      </w:r>
    </w:p>
    <w:p w:rsidR="00000000" w:rsidDel="00000000" w:rsidP="00000000" w:rsidRDefault="00000000" w:rsidRPr="00000000" w14:paraId="000000C6">
      <w:pPr>
        <w:keepNext w:val="1"/>
        <w:numPr>
          <w:ilvl w:val="0"/>
          <w:numId w:val="6"/>
        </w:numPr>
        <w:pBdr>
          <w:top w:space="0" w:sz="0" w:val="nil"/>
          <w:left w:space="0" w:sz="0" w:val="nil"/>
          <w:bottom w:space="0" w:sz="0" w:val="nil"/>
          <w:right w:space="0" w:sz="0" w:val="nil"/>
          <w:between w:space="0" w:sz="0" w:val="nil"/>
        </w:pBdr>
        <w:spacing w:after="0" w:line="259" w:lineRule="auto"/>
        <w:ind w:left="709"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C7">
      <w:pPr>
        <w:keepNext w:val="1"/>
        <w:pBdr>
          <w:top w:space="0" w:sz="0" w:val="nil"/>
          <w:left w:space="0" w:sz="0" w:val="nil"/>
          <w:bottom w:space="0" w:sz="0" w:val="nil"/>
          <w:right w:space="0" w:sz="0" w:val="nil"/>
          <w:between w:space="0" w:sz="0" w:val="nil"/>
        </w:pBdr>
        <w:spacing w:after="0" w:line="259"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keepNext w:val="1"/>
        <w:numPr>
          <w:ilvl w:val="0"/>
          <w:numId w:val="6"/>
        </w:numPr>
        <w:pBdr>
          <w:top w:space="0" w:sz="0" w:val="nil"/>
          <w:left w:space="0" w:sz="0" w:val="nil"/>
          <w:bottom w:space="0" w:sz="0" w:val="nil"/>
          <w:right w:space="0" w:sz="0" w:val="nil"/>
          <w:between w:space="0" w:sz="0" w:val="nil"/>
        </w:pBdr>
        <w:spacing w:after="0" w:line="259" w:lineRule="auto"/>
        <w:ind w:left="709"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rsidR="00000000" w:rsidDel="00000000" w:rsidP="00000000" w:rsidRDefault="00000000" w:rsidRPr="00000000" w14:paraId="000000C9">
      <w:pPr>
        <w:keepNext w:val="1"/>
        <w:pBdr>
          <w:top w:space="0" w:sz="0" w:val="nil"/>
          <w:left w:space="0" w:sz="0" w:val="nil"/>
          <w:bottom w:space="0" w:sz="0" w:val="nil"/>
          <w:right w:space="0" w:sz="0" w:val="nil"/>
          <w:between w:space="0" w:sz="0" w:val="nil"/>
        </w:pBd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4.2 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C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Impact Assessments</w:t>
      </w:r>
    </w:p>
    <w:p w:rsidR="00000000" w:rsidDel="00000000" w:rsidP="00000000" w:rsidRDefault="00000000" w:rsidRPr="00000000" w14:paraId="000000CC">
      <w:pPr>
        <w:rPr>
          <w:rFonts w:ascii="Arial" w:cs="Arial" w:eastAsia="Arial" w:hAnsi="Arial"/>
          <w:sz w:val="24"/>
          <w:szCs w:val="24"/>
        </w:rPr>
      </w:pPr>
      <w:r w:rsidDel="00000000" w:rsidR="00000000" w:rsidRPr="00000000">
        <w:rPr>
          <w:rFonts w:ascii="Arial" w:cs="Arial" w:eastAsia="Arial" w:hAnsi="Arial"/>
          <w:sz w:val="24"/>
          <w:szCs w:val="24"/>
          <w:rtl w:val="0"/>
        </w:rPr>
        <w:t xml:space="preserve">5.1 The Parties shall:</w:t>
      </w:r>
    </w:p>
    <w:p w:rsidR="00000000" w:rsidDel="00000000" w:rsidP="00000000" w:rsidRDefault="00000000" w:rsidRPr="00000000" w14:paraId="000000CD">
      <w:pPr>
        <w:keepNext w:val="1"/>
        <w:numPr>
          <w:ilvl w:val="0"/>
          <w:numId w:val="5"/>
        </w:numPr>
        <w:pBdr>
          <w:top w:space="0" w:sz="0" w:val="nil"/>
          <w:left w:space="0" w:sz="0" w:val="nil"/>
          <w:bottom w:space="0" w:sz="0" w:val="nil"/>
          <w:right w:space="0" w:sz="0" w:val="nil"/>
          <w:between w:space="0" w:sz="0" w:val="nil"/>
        </w:pBdr>
        <w:spacing w:after="0" w:line="259" w:lineRule="auto"/>
        <w:ind w:left="709" w:hanging="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keepNext w:val="1"/>
        <w:numPr>
          <w:ilvl w:val="0"/>
          <w:numId w:val="5"/>
        </w:numPr>
        <w:pBdr>
          <w:top w:space="0" w:sz="0" w:val="nil"/>
          <w:left w:space="0" w:sz="0" w:val="nil"/>
          <w:bottom w:space="0" w:sz="0" w:val="nil"/>
          <w:right w:space="0" w:sz="0" w:val="nil"/>
          <w:between w:space="0" w:sz="0" w:val="nil"/>
        </w:pBdr>
        <w:spacing w:after="0" w:line="259" w:lineRule="auto"/>
        <w:ind w:left="709"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GDPR.</w:t>
      </w:r>
    </w:p>
    <w:p w:rsidR="00000000" w:rsidDel="00000000" w:rsidP="00000000" w:rsidRDefault="00000000" w:rsidRPr="00000000" w14:paraId="000000D0">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ICO Guidance</w:t>
      </w:r>
    </w:p>
    <w:p w:rsidR="00000000" w:rsidDel="00000000" w:rsidP="00000000" w:rsidRDefault="00000000" w:rsidRPr="00000000" w14:paraId="000000D2">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D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Liabilities for Data Protection Breach</w:t>
      </w:r>
    </w:p>
    <w:p w:rsidR="00000000" w:rsidDel="00000000" w:rsidP="00000000" w:rsidRDefault="00000000" w:rsidRPr="00000000" w14:paraId="000000D4">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0D5">
      <w:pPr>
        <w:rPr>
          <w:rFonts w:ascii="Arial" w:cs="Arial" w:eastAsia="Arial" w:hAnsi="Arial"/>
          <w:sz w:val="24"/>
          <w:szCs w:val="24"/>
        </w:rPr>
      </w:pPr>
      <w:r w:rsidDel="00000000" w:rsidR="00000000" w:rsidRPr="00000000">
        <w:rPr>
          <w:rFonts w:ascii="Arial" w:cs="Arial" w:eastAsia="Arial" w:hAnsi="Arial"/>
          <w:sz w:val="24"/>
          <w:szCs w:val="24"/>
          <w:rtl w:val="0"/>
        </w:rPr>
        <w:t xml:space="preserve">7.1 If financial penalties are imposed by the Information Commissioner on either the Relevant Authority or the Supplier for a Personal Data Breach ("</w:t>
      </w:r>
      <w:r w:rsidDel="00000000" w:rsidR="00000000" w:rsidRPr="00000000">
        <w:rPr>
          <w:rFonts w:ascii="Arial" w:cs="Arial" w:eastAsia="Arial" w:hAnsi="Arial"/>
          <w:b w:val="1"/>
          <w:sz w:val="24"/>
          <w:szCs w:val="24"/>
          <w:rtl w:val="0"/>
        </w:rPr>
        <w:t xml:space="preserve">Financial Penalties</w:t>
      </w:r>
      <w:r w:rsidDel="00000000" w:rsidR="00000000" w:rsidRPr="00000000">
        <w:rPr>
          <w:rFonts w:ascii="Arial" w:cs="Arial" w:eastAsia="Arial" w:hAnsi="Arial"/>
          <w:sz w:val="24"/>
          <w:szCs w:val="24"/>
          <w:rtl w:val="0"/>
        </w:rPr>
        <w:t xml:space="preserve">") then the following shall occur:</w:t>
      </w:r>
    </w:p>
    <w:p w:rsidR="00000000" w:rsidDel="00000000" w:rsidP="00000000" w:rsidRDefault="00000000" w:rsidRPr="00000000" w14:paraId="000000D6">
      <w:pPr>
        <w:keepNext w:val="1"/>
        <w:numPr>
          <w:ilvl w:val="0"/>
          <w:numId w:val="8"/>
        </w:numPr>
        <w:pBdr>
          <w:top w:space="0" w:sz="0" w:val="nil"/>
          <w:left w:space="0" w:sz="0" w:val="nil"/>
          <w:bottom w:space="0" w:sz="0" w:val="nil"/>
          <w:right w:space="0" w:sz="0" w:val="nil"/>
          <w:between w:space="0" w:sz="0" w:val="nil"/>
        </w:pBdr>
        <w:spacing w:after="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0D7">
      <w:pPr>
        <w:keepNext w:val="1"/>
        <w:pBdr>
          <w:top w:space="0" w:sz="0" w:val="nil"/>
          <w:left w:space="0" w:sz="0" w:val="nil"/>
          <w:bottom w:space="0" w:sz="0" w:val="nil"/>
          <w:right w:space="0" w:sz="0" w:val="nil"/>
          <w:between w:space="0" w:sz="0" w:val="nil"/>
        </w:pBdr>
        <w:spacing w:after="0" w:line="259"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keepNext w:val="1"/>
        <w:numPr>
          <w:ilvl w:val="0"/>
          <w:numId w:val="8"/>
        </w:numPr>
        <w:pBdr>
          <w:top w:space="0" w:sz="0" w:val="nil"/>
          <w:left w:space="0" w:sz="0" w:val="nil"/>
          <w:bottom w:space="0" w:sz="0" w:val="nil"/>
          <w:right w:space="0" w:sz="0" w:val="nil"/>
          <w:between w:space="0" w:sz="0" w:val="nil"/>
        </w:pBdr>
        <w:spacing w:after="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0D9">
      <w:pPr>
        <w:keepNext w:val="1"/>
        <w:pBdr>
          <w:top w:space="0" w:sz="0" w:val="nil"/>
          <w:left w:space="0" w:sz="0" w:val="nil"/>
          <w:bottom w:space="0" w:sz="0" w:val="nil"/>
          <w:right w:space="0" w:sz="0" w:val="nil"/>
          <w:between w:space="0" w:sz="0" w:val="nil"/>
        </w:pBdr>
        <w:spacing w:after="0" w:line="259"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keepNext w:val="1"/>
        <w:numPr>
          <w:ilvl w:val="0"/>
          <w:numId w:val="8"/>
        </w:numPr>
        <w:pBdr>
          <w:top w:space="0" w:sz="0" w:val="nil"/>
          <w:left w:space="0" w:sz="0" w:val="nil"/>
          <w:bottom w:space="0" w:sz="0" w:val="nil"/>
          <w:right w:space="0" w:sz="0" w:val="nil"/>
          <w:between w:space="0" w:sz="0" w:val="nil"/>
        </w:pBdr>
        <w:spacing w:after="280" w:line="259" w:lineRule="auto"/>
        <w:ind w:left="720"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sidDel="00000000" w:rsidR="00000000" w:rsidRPr="00000000">
        <w:rPr>
          <w:rFonts w:ascii="Arial" w:cs="Arial" w:eastAsia="Arial" w:hAnsi="Arial"/>
          <w:i w:val="1"/>
          <w:sz w:val="24"/>
          <w:szCs w:val="24"/>
          <w:rtl w:val="0"/>
        </w:rPr>
        <w:t xml:space="preserve">Resolving disputes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B">
      <w:pPr>
        <w:pStyle w:val="Heading2"/>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7.2 If either the </w:t>
      </w:r>
      <w:r w:rsidDel="00000000" w:rsidR="00000000" w:rsidRPr="00000000">
        <w:rPr>
          <w:rFonts w:ascii="Arial" w:cs="Arial" w:eastAsia="Arial" w:hAnsi="Arial"/>
          <w:b w:val="0"/>
          <w:sz w:val="24"/>
          <w:szCs w:val="24"/>
          <w:rtl w:val="0"/>
        </w:rPr>
        <w:t xml:space="preserve">Relevant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color w:val="000000"/>
          <w:sz w:val="24"/>
          <w:szCs w:val="24"/>
          <w:rtl w:val="0"/>
        </w:rPr>
        <w:t xml:space="preserve">Authority or the Supplier is the defendant in a legal claim brought before a court of competent jurisdiction (“</w:t>
      </w:r>
      <w:r w:rsidDel="00000000" w:rsidR="00000000" w:rsidRPr="00000000">
        <w:rPr>
          <w:rFonts w:ascii="Arial" w:cs="Arial" w:eastAsia="Arial" w:hAnsi="Arial"/>
          <w:color w:val="000000"/>
          <w:sz w:val="24"/>
          <w:szCs w:val="24"/>
          <w:rtl w:val="0"/>
        </w:rPr>
        <w:t xml:space="preserve">Court</w:t>
      </w:r>
      <w:r w:rsidDel="00000000" w:rsidR="00000000" w:rsidRPr="00000000">
        <w:rPr>
          <w:rFonts w:ascii="Arial" w:cs="Arial" w:eastAsia="Arial" w:hAnsi="Arial"/>
          <w:b w:val="0"/>
          <w:color w:val="000000"/>
          <w:sz w:val="24"/>
          <w:szCs w:val="24"/>
          <w:rtl w:val="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0DC">
      <w:pPr>
        <w:pStyle w:val="Heading2"/>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7.3 In respect of any losses, cost claims or expenses incurred by either Party as a result of a Personal Data Breach (the “</w:t>
      </w:r>
      <w:r w:rsidDel="00000000" w:rsidR="00000000" w:rsidRPr="00000000">
        <w:rPr>
          <w:rFonts w:ascii="Arial" w:cs="Arial" w:eastAsia="Arial" w:hAnsi="Arial"/>
          <w:color w:val="000000"/>
          <w:sz w:val="24"/>
          <w:szCs w:val="24"/>
          <w:rtl w:val="0"/>
        </w:rPr>
        <w:t xml:space="preserve">Claim Losses</w:t>
      </w:r>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14:paraId="000000DD">
      <w:pPr>
        <w:pStyle w:val="Heading3"/>
        <w:keepNext w:val="0"/>
        <w:keepLines w:val="0"/>
        <w:spacing w:after="240" w:before="0" w:lineRule="auto"/>
        <w:ind w:left="11" w:firstLine="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DE">
      <w:pPr>
        <w:keepNext w:val="1"/>
        <w:numPr>
          <w:ilvl w:val="0"/>
          <w:numId w:val="9"/>
        </w:numPr>
        <w:pBdr>
          <w:top w:space="0" w:sz="0" w:val="nil"/>
          <w:left w:space="0" w:sz="0" w:val="nil"/>
          <w:bottom w:space="0" w:sz="0" w:val="nil"/>
          <w:right w:space="0" w:sz="0" w:val="nil"/>
          <w:between w:space="0" w:sz="0" w:val="nil"/>
        </w:pBdr>
        <w:spacing w:after="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0DF">
      <w:pPr>
        <w:keepNext w:val="1"/>
        <w:pBdr>
          <w:top w:space="0" w:sz="0" w:val="nil"/>
          <w:left w:space="0" w:sz="0" w:val="nil"/>
          <w:bottom w:space="0" w:sz="0" w:val="nil"/>
          <w:right w:space="0" w:sz="0" w:val="nil"/>
          <w:between w:space="0" w:sz="0" w:val="nil"/>
        </w:pBdr>
        <w:spacing w:after="0" w:line="259"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keepNext w:val="1"/>
        <w:numPr>
          <w:ilvl w:val="0"/>
          <w:numId w:val="9"/>
        </w:numPr>
        <w:pBdr>
          <w:top w:space="0" w:sz="0" w:val="nil"/>
          <w:left w:space="0" w:sz="0" w:val="nil"/>
          <w:bottom w:space="0" w:sz="0" w:val="nil"/>
          <w:right w:space="0" w:sz="0" w:val="nil"/>
          <w:between w:space="0" w:sz="0" w:val="nil"/>
        </w:pBdr>
        <w:spacing w:after="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spacing w:after="0" w:line="25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keepNext w:val="1"/>
        <w:numPr>
          <w:ilvl w:val="0"/>
          <w:numId w:val="9"/>
        </w:numPr>
        <w:pBdr>
          <w:top w:space="0" w:sz="0" w:val="nil"/>
          <w:left w:space="0" w:sz="0" w:val="nil"/>
          <w:bottom w:space="0" w:sz="0" w:val="nil"/>
          <w:right w:space="0" w:sz="0" w:val="nil"/>
          <w:between w:space="0" w:sz="0" w:val="nil"/>
        </w:pBdr>
        <w:spacing w:after="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0E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rPr>
          <w:rFonts w:ascii="Arial" w:cs="Arial" w:eastAsia="Arial" w:hAnsi="Arial"/>
          <w:sz w:val="24"/>
          <w:szCs w:val="24"/>
        </w:rPr>
      </w:pPr>
      <w:r w:rsidDel="00000000" w:rsidR="00000000" w:rsidRPr="00000000">
        <w:rPr>
          <w:rFonts w:ascii="Arial" w:cs="Arial" w:eastAsia="Arial" w:hAnsi="Arial"/>
          <w:sz w:val="24"/>
          <w:szCs w:val="24"/>
          <w:rtl w:val="0"/>
        </w:rPr>
        <w:t xml:space="preserve">7.4 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0E5">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Termination</w:t>
      </w:r>
    </w:p>
    <w:p w:rsidR="00000000" w:rsidDel="00000000" w:rsidP="00000000" w:rsidRDefault="00000000" w:rsidRPr="00000000" w14:paraId="000000E6">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w:t>
      </w:r>
      <w:r w:rsidDel="00000000" w:rsidR="00000000" w:rsidRPr="00000000">
        <w:rPr>
          <w:rFonts w:ascii="Arial" w:cs="Arial" w:eastAsia="Arial" w:hAnsi="Arial"/>
          <w:i w:val="1"/>
          <w:sz w:val="24"/>
          <w:szCs w:val="24"/>
          <w:rtl w:val="0"/>
        </w:rPr>
        <w:t xml:space="preserve">Ending the contract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9. Sub-Processing</w:t>
      </w:r>
      <w:r w:rsidDel="00000000" w:rsidR="00000000" w:rsidRPr="00000000">
        <w:rPr>
          <w:rtl w:val="0"/>
        </w:rPr>
      </w:r>
    </w:p>
    <w:p w:rsidR="00000000" w:rsidDel="00000000" w:rsidP="00000000" w:rsidRDefault="00000000" w:rsidRPr="00000000" w14:paraId="000000E8">
      <w:pPr>
        <w:rPr>
          <w:rFonts w:ascii="Arial" w:cs="Arial" w:eastAsia="Arial" w:hAnsi="Arial"/>
          <w:sz w:val="24"/>
          <w:szCs w:val="24"/>
        </w:rPr>
      </w:pPr>
      <w:r w:rsidDel="00000000" w:rsidR="00000000" w:rsidRPr="00000000">
        <w:rPr>
          <w:rFonts w:ascii="Arial" w:cs="Arial" w:eastAsia="Arial" w:hAnsi="Arial"/>
          <w:sz w:val="24"/>
          <w:szCs w:val="24"/>
          <w:rtl w:val="0"/>
        </w:rPr>
        <w:t xml:space="preserve">10.1 In respect of any Processing of Personal Data performed by a third party on behalf of a Party, that Party shall:</w:t>
      </w:r>
    </w:p>
    <w:p w:rsidR="00000000" w:rsidDel="00000000" w:rsidP="00000000" w:rsidRDefault="00000000" w:rsidRPr="00000000" w14:paraId="000000E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0EA">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ensure that a suitable agreement is in place with the third party as required under applicable Data Protection Legislation.</w:t>
      </w:r>
    </w:p>
    <w:p w:rsidR="00000000" w:rsidDel="00000000" w:rsidP="00000000" w:rsidRDefault="00000000" w:rsidRPr="00000000" w14:paraId="000000EB">
      <w:pPr>
        <w:keepNext w:val="1"/>
        <w:keepLines w:val="1"/>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Data Retention</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2160" w:right="0" w:hanging="21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ksv4uv" w:id="15"/>
    <w:bookmarkEnd w:id="15"/>
    <w:p w:rsidR="00000000" w:rsidDel="00000000" w:rsidP="00000000" w:rsidRDefault="00000000" w:rsidRPr="00000000" w14:paraId="000000EE">
      <w:pPr>
        <w:keepNext w:val="1"/>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4">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7">
    <w:pPr>
      <w:spacing w:after="0" w:lineRule="auto"/>
      <w:rPr/>
    </w:pPr>
    <w:r w:rsidDel="00000000" w:rsidR="00000000" w:rsidRPr="00000000">
      <w:rPr>
        <w:rFonts w:ascii="Arial" w:cs="Arial" w:eastAsia="Arial" w:hAnsi="Arial"/>
        <w:sz w:val="20"/>
        <w:szCs w:val="20"/>
        <w:rtl w:val="0"/>
      </w:rPr>
      <w:t xml:space="preserve">Model Version: v4.0</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-13331</wp:posOffset>
          </wp:positionV>
          <wp:extent cx="849085" cy="685627"/>
          <wp:effectExtent b="0" l="0" r="0" t="0"/>
          <wp:wrapNone/>
          <wp:docPr descr="Crown Commercial Service" id="4"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11 (Processing Data)</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2">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lang w:eastAsia="en-GB"/>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ascii="Calibri" w:cs="Times New Roman" w:eastAsia="Calibri" w:hAnsi="Calibri"/>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26"/>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26"/>
      </w:numPr>
      <w:spacing w:after="0" w:line="300" w:lineRule="atLeast"/>
      <w:jc w:val="both"/>
    </w:pPr>
    <w:rPr>
      <w:rFonts w:ascii="Times New Roman" w:cs="Times New Roman" w:hAnsi="Times New Roman"/>
    </w:rPr>
  </w:style>
  <w:style w:type="paragraph" w:styleId="TLTLevel1" w:customStyle="1">
    <w:name w:val="TLT Level 1"/>
    <w:basedOn w:val="Normal"/>
    <w:rsid w:val="002404A4"/>
    <w:pPr>
      <w:numPr>
        <w:numId w:val="27"/>
      </w:numPr>
      <w:spacing w:before="100" w:line="240" w:lineRule="auto"/>
    </w:pPr>
    <w:rPr>
      <w:rFonts w:ascii="Arial" w:cs="Arial" w:hAnsi="Arial"/>
      <w:sz w:val="20"/>
      <w:szCs w:val="20"/>
      <w:lang w:eastAsia="en-GB"/>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numPr>
        <w:ilvl w:val="1"/>
        <w:numId w:val="27"/>
      </w:numPr>
      <w:spacing w:before="100" w:line="240" w:lineRule="auto"/>
    </w:pPr>
  </w:style>
  <w:style w:type="paragraph" w:styleId="TLTLevel3" w:customStyle="1">
    <w:name w:val="TLT Level 3"/>
    <w:basedOn w:val="Normal"/>
    <w:rsid w:val="002404A4"/>
    <w:pPr>
      <w:numPr>
        <w:ilvl w:val="2"/>
        <w:numId w:val="27"/>
      </w:numPr>
      <w:spacing w:before="100" w:line="240" w:lineRule="auto"/>
      <w:ind w:left="2160" w:hanging="180"/>
    </w:pPr>
    <w:rPr>
      <w:rFonts w:ascii="Times New Roman" w:cs="Times New Roman" w:hAnsi="Times New Roman"/>
    </w:rPr>
  </w:style>
  <w:style w:type="paragraph" w:styleId="TLTLevel4" w:customStyle="1">
    <w:name w:val="TLT Level 4"/>
    <w:basedOn w:val="Normal"/>
    <w:rsid w:val="002404A4"/>
    <w:pPr>
      <w:numPr>
        <w:ilvl w:val="3"/>
        <w:numId w:val="27"/>
      </w:numPr>
      <w:spacing w:before="100" w:line="240" w:lineRule="auto"/>
      <w:ind w:left="2880" w:hanging="360"/>
    </w:pPr>
    <w:rPr>
      <w:rFonts w:ascii="Times New Roman" w:cs="Times New Roman" w:hAnsi="Times New Roman"/>
    </w:rPr>
  </w:style>
  <w:style w:type="paragraph" w:styleId="TLTLevel5" w:customStyle="1">
    <w:name w:val="TLT Level 5"/>
    <w:basedOn w:val="Normal"/>
    <w:rsid w:val="002404A4"/>
    <w:pPr>
      <w:numPr>
        <w:ilvl w:val="4"/>
        <w:numId w:val="27"/>
      </w:numPr>
      <w:spacing w:before="100" w:line="240" w:lineRule="auto"/>
      <w:ind w:left="3600" w:hanging="360"/>
    </w:pPr>
    <w:rPr>
      <w:rFonts w:ascii="Times New Roman" w:cs="Times New Roman" w:hAnsi="Times New Roman"/>
    </w:rPr>
  </w:style>
  <w:style w:type="numbering" w:styleId="Level" w:customStyle="1">
    <w:name w:val="Level"/>
    <w:uiPriority w:val="99"/>
    <w:rsid w:val="002404A4"/>
    <w:pPr>
      <w:numPr>
        <w:numId w:val="27"/>
      </w:numPr>
    </w:pPr>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fYcrjn2F49a5buip11msAvtRg==">AMUW2mVJ1lVQr3BJvD69Y1XR+ggf6nDi2d9d9d6KJvLbSArdcMNiQ3v65JikvHz5pHPnSSCDvPyfYbfOOiVYGWBtPOGF5OaMfLKKIJbvY/fF3m44a37se3yGD/sM3t/geZCj4DYJZOMNqbkkp5gfkosmEtuLqniFXL7cFTfdquN6S6Ggl4Lckgrup5JEc5JhXyfyP7w2AQqbdpEvTy4s/v5gp99V9LDueaH0jM3T5GqN0u28mTp8rxIJ8OhqncKj4CZDCDEQA1SCMtNyUaoCyz+AtHUbVweuzGI+llr4ZxRzTqFPyctCWewQE9JZG8VymihII6Pec/Twz9rO52Y7IsT8zKqKMwgm8TZbtfYqh11oKrdBMC9EVU0reStHS11UiXY1YCJOwa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