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02">
      <w:pPr>
        <w:spacing w:after="0" w:line="259"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04">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0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b w:val="1"/>
          <w:sz w:val="24"/>
          <w:szCs w:val="24"/>
          <w:rtl w:val="0"/>
        </w:rPr>
        <w:t xml:space="preserve">Ministry of Defence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rtl w:val="0"/>
        </w:rPr>
        <w:t xml:space="preserve">Spruce 3b #3013</w:t>
      </w:r>
    </w:p>
    <w:p w:rsidR="00000000" w:rsidDel="00000000" w:rsidP="00000000" w:rsidRDefault="00000000" w:rsidRPr="00000000" w14:paraId="0000000B">
      <w:pPr>
        <w:spacing w:after="0" w:line="259"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Abbey Wood South</w:t>
      </w:r>
    </w:p>
    <w:p w:rsidR="00000000" w:rsidDel="00000000" w:rsidP="00000000" w:rsidRDefault="00000000" w:rsidRPr="00000000" w14:paraId="0000000C">
      <w:pPr>
        <w:spacing w:after="0" w:line="259"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Bristol</w:t>
      </w:r>
    </w:p>
    <w:p w:rsidR="00000000" w:rsidDel="00000000" w:rsidP="00000000" w:rsidRDefault="00000000" w:rsidRPr="00000000" w14:paraId="0000000D">
      <w:pPr>
        <w:spacing w:after="0" w:line="259"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BS34 8JH</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E">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13">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p>
    <w:p w:rsidR="00000000" w:rsidDel="00000000" w:rsidP="00000000" w:rsidRDefault="00000000" w:rsidRPr="00000000" w14:paraId="0000001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1B">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RM6217 for the provision of Travel and Venue Solutions.   </w:t>
      </w:r>
    </w:p>
    <w:p w:rsidR="00000000" w:rsidDel="00000000" w:rsidP="00000000" w:rsidRDefault="00000000" w:rsidRPr="00000000" w14:paraId="0000001C">
      <w:pPr>
        <w:tabs>
          <w:tab w:val="left" w:pos="2257"/>
        </w:tabs>
        <w:spacing w:after="0" w:line="259" w:lineRule="auto"/>
        <w:rPr>
          <w:rFonts w:ascii="Arial" w:cs="Arial" w:eastAsia="Arial" w:hAnsi="Arial"/>
          <w:b w:val="1"/>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D">
      <w:pPr>
        <w:tabs>
          <w:tab w:val="left" w:pos="2257"/>
        </w:tabs>
        <w:spacing w:after="0" w:line="259"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LOT(S):</w:t>
      </w:r>
    </w:p>
    <w:p w:rsidR="00000000" w:rsidDel="00000000" w:rsidP="00000000" w:rsidRDefault="00000000" w:rsidRPr="00000000" w14:paraId="0000001E">
      <w:pPr>
        <w:tabs>
          <w:tab w:val="left" w:pos="2257"/>
        </w:tabs>
        <w:spacing w:after="0" w:line="259" w:lineRule="auto"/>
        <w:ind w:left="2880" w:hanging="2880"/>
        <w:rPr>
          <w:rFonts w:ascii="Arial" w:cs="Arial" w:eastAsia="Arial" w:hAnsi="Arial"/>
          <w:i w:val="1"/>
          <w:sz w:val="24"/>
          <w:szCs w:val="24"/>
        </w:rPr>
      </w:pPr>
      <w:r w:rsidDel="00000000" w:rsidR="00000000" w:rsidRPr="00000000">
        <w:rPr>
          <w:rFonts w:ascii="Arial" w:cs="Arial" w:eastAsia="Arial" w:hAnsi="Arial"/>
          <w:sz w:val="24"/>
          <w:szCs w:val="24"/>
          <w:rtl w:val="0"/>
        </w:rPr>
        <w:t xml:space="preserve">Lot 3 – Booking Solutions Specialist Needs</w:t>
      </w: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20">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the Call-Off Special Terms and Call-Off Special Schedules.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color w:val="000000"/>
          <w:sz w:val="24"/>
          <w:szCs w:val="24"/>
          <w:rtl w:val="0"/>
        </w:rPr>
        <w:t xml:space="preserve">RM6217 </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Terms </w:t>
      </w:r>
    </w:p>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b w:val="1"/>
          <w:color w:val="000000"/>
          <w:sz w:val="24"/>
          <w:szCs w:val="24"/>
          <w:rtl w:val="0"/>
        </w:rPr>
        <w:t xml:space="preserve">RM6217</w:t>
      </w:r>
      <w:r w:rsidDel="00000000" w:rsidR="00000000" w:rsidRPr="00000000">
        <w:rPr>
          <w:rtl w:val="0"/>
        </w:rPr>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6 (Key Subcontractors)]</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 ]</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8 (Guarantee) ]</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9 (Minimum Standards of Reliability]</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12 (Supply Chain Visibility)]</w:t>
        <w:tab/>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color w:val="000000"/>
          <w:sz w:val="24"/>
          <w:szCs w:val="24"/>
          <w:highlight w:val="yellow"/>
          <w:rtl w:val="0"/>
        </w:rPr>
        <w:t xml:space="preserve">Call-Off reference number</w:t>
      </w:r>
      <w:r w:rsidDel="00000000" w:rsidR="00000000" w:rsidRPr="00000000">
        <w:rPr>
          <w:rFonts w:ascii="Arial" w:cs="Arial" w:eastAsia="Arial" w:hAnsi="Arial"/>
          <w:color w:val="000000"/>
          <w:sz w:val="24"/>
          <w:szCs w:val="24"/>
          <w:rtl w:val="0"/>
        </w:rPr>
        <w:t xml:space="preserve">]</w:t>
        <w:tab/>
        <w:tab/>
        <w:tab/>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5 (Pricing Details)</w:t>
        <w:tab/>
        <w:t xml:space="preserve">]</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(ICT Services) </w:t>
        <w:tab/>
        <w:t xml:space="preserve">]</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7 (Key Supplier Staff)]</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 ] </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10 (Exit Management) ]</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[Call-Off Schedule 13 (Implementation Plan and Testing) ]</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14 (Service Levels) ]</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15 (Call-Off Contract Management)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16 (Benchmarking)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17 (MOD Terms) </w:t>
        <w:tab/>
        <w:t xml:space="preserve">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18 (Background Checks) ]</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20 (Call-Off Specification)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b w:val="1"/>
          <w:color w:val="000000"/>
          <w:sz w:val="24"/>
          <w:szCs w:val="24"/>
          <w:rtl w:val="0"/>
        </w:rPr>
        <w:t xml:space="preserve">RM6217</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4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48">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4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4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 for Output price index based VOP Arrangement (See Annex A)</w:t>
      </w:r>
    </w:p>
    <w:p w:rsidR="00000000" w:rsidDel="00000000" w:rsidP="00000000" w:rsidRDefault="00000000" w:rsidRPr="00000000" w14:paraId="0000004D">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yellow"/>
          <w:rtl w:val="0"/>
        </w:rPr>
        <w:t xml:space="preserve">[Inset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4F">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r>
      <w:r w:rsidDel="00000000" w:rsidR="00000000" w:rsidRPr="00000000">
        <w:rPr>
          <w:rFonts w:ascii="Arial" w:cs="Arial" w:eastAsia="Arial" w:hAnsi="Arial"/>
          <w:b w:val="1"/>
          <w:sz w:val="24"/>
          <w:szCs w:val="24"/>
          <w:highlight w:val="yellow"/>
          <w:rtl w:val="0"/>
        </w:rPr>
        <w:t xml:space="preserve">[Inset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51">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Years, Months] </w:t>
      </w:r>
    </w:p>
    <w:p w:rsidR="00000000" w:rsidDel="00000000" w:rsidP="00000000" w:rsidRDefault="00000000" w:rsidRPr="00000000" w14:paraId="0000005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5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[Option A: Online and Offline Travel Management Services in compliance with RM6217 Schedule of Requirements Mandatory Requirement for all Lots, Mandatory Service Requirements for Lots 1, 2, and 3, and Lot 3 Specialist Booking needs</w:t>
      </w:r>
      <w:r w:rsidDel="00000000" w:rsidR="00000000" w:rsidRPr="00000000">
        <w:rPr>
          <w:rtl w:val="0"/>
        </w:rPr>
      </w:r>
    </w:p>
    <w:p w:rsidR="00000000" w:rsidDel="00000000" w:rsidP="00000000" w:rsidRDefault="00000000" w:rsidRPr="00000000" w14:paraId="00000056">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5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 and shall be limited to a maximum of £5,000,000</w:t>
      </w:r>
    </w:p>
    <w:p w:rsidR="00000000" w:rsidDel="00000000" w:rsidP="00000000" w:rsidRDefault="00000000" w:rsidRPr="00000000" w14:paraId="00000059">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5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[Option B: See details in Call-Off Schedule 5 (Pricing Details)]</w:t>
      </w:r>
      <w:r w:rsidDel="00000000" w:rsidR="00000000" w:rsidRPr="00000000">
        <w:rPr>
          <w:rtl w:val="0"/>
        </w:rPr>
      </w:r>
    </w:p>
    <w:p w:rsidR="00000000" w:rsidDel="00000000" w:rsidP="00000000" w:rsidRDefault="00000000" w:rsidRPr="00000000" w14:paraId="0000005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Change in Law]</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using Call-Off Schedule 16 (Benchmarking)]</w:t>
      </w:r>
    </w:p>
    <w:p w:rsidR="00000000" w:rsidDel="00000000" w:rsidP="00000000" w:rsidRDefault="00000000" w:rsidRPr="00000000" w14:paraId="00000061">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6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64">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6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detailed in Framework Schedule 1 (Specifications) 7.106</w:t>
      </w:r>
    </w:p>
    <w:p w:rsidR="00000000" w:rsidDel="00000000" w:rsidP="00000000" w:rsidRDefault="00000000" w:rsidRPr="00000000" w14:paraId="00000067">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6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6A">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6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None</w:t>
      </w:r>
      <w:r w:rsidDel="00000000" w:rsidR="00000000" w:rsidRPr="00000000">
        <w:rPr>
          <w:rtl w:val="0"/>
        </w:rPr>
      </w:r>
    </w:p>
    <w:p w:rsidR="00000000" w:rsidDel="00000000" w:rsidP="00000000" w:rsidRDefault="00000000" w:rsidRPr="00000000" w14:paraId="0000006D">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6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Appended at Call-Off Schedule 9</w:t>
      </w:r>
    </w:p>
    <w:p w:rsidR="00000000" w:rsidDel="00000000" w:rsidP="00000000" w:rsidRDefault="00000000" w:rsidRPr="00000000" w14:paraId="00000070">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7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7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7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7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7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78">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7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7A">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7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7C">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7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the 14th of each calendar month</w:t>
      </w:r>
    </w:p>
    <w:p w:rsidR="00000000" w:rsidDel="00000000" w:rsidP="00000000" w:rsidRDefault="00000000" w:rsidRPr="00000000" w14:paraId="0000007F">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8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Monthly</w:t>
      </w:r>
    </w:p>
    <w:p w:rsidR="00000000" w:rsidDel="00000000" w:rsidP="00000000" w:rsidRDefault="00000000" w:rsidRPr="00000000" w14:paraId="00000082">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8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6">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contract details]</w:t>
      </w:r>
    </w:p>
    <w:p w:rsidR="00000000" w:rsidDel="00000000" w:rsidP="00000000" w:rsidRDefault="00000000" w:rsidRPr="00000000" w14:paraId="00000089">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8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name (registered name if registered)] </w:t>
      </w:r>
    </w:p>
    <w:p w:rsidR="00000000" w:rsidDel="00000000" w:rsidP="00000000" w:rsidRDefault="00000000" w:rsidRPr="00000000" w14:paraId="0000008C">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8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08F">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w:t>
      </w:r>
    </w:p>
    <w:p w:rsidR="00000000" w:rsidDel="00000000" w:rsidP="00000000" w:rsidRDefault="00000000" w:rsidRPr="00000000" w14:paraId="0000009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 will accrue in accordance with Call-Off Schedule 14 (Service Levels). </w:t>
      </w:r>
    </w:p>
    <w:p w:rsidR="00000000" w:rsidDel="00000000" w:rsidP="00000000" w:rsidRDefault="00000000" w:rsidRPr="00000000" w14:paraId="0000009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Period is: one Month</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where a service level falls below 70% of target, and/or, a service level target has not been achieved for four consecutive months (including the one month grace period defined in Call Off Schedule 14).</w:t>
      </w:r>
    </w:p>
    <w:p w:rsidR="00000000" w:rsidDel="00000000" w:rsidP="00000000" w:rsidRDefault="00000000" w:rsidRPr="00000000" w14:paraId="00000094">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9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Additional Insurances required in accordance with Joint Schedule 3 (Insurance Requirements) ]</w:t>
      </w:r>
    </w:p>
    <w:p w:rsidR="00000000" w:rsidDel="00000000" w:rsidP="00000000" w:rsidRDefault="00000000" w:rsidRPr="00000000" w14:paraId="0000009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9A">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have a Call-Off Guarantor to guarantee their performance using the form in Joint Schedule 8 (Guarantee)</w:t>
      </w:r>
    </w:p>
    <w:p w:rsidR="00000000" w:rsidDel="00000000" w:rsidP="00000000" w:rsidRDefault="00000000" w:rsidRPr="00000000" w14:paraId="0000009B">
      <w:pPr>
        <w:spacing w:after="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9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suppliers bid to Framework RM6217</w:t>
      </w:r>
    </w:p>
    <w:p w:rsidR="00000000" w:rsidDel="00000000" w:rsidP="00000000" w:rsidRDefault="00000000" w:rsidRPr="00000000" w14:paraId="0000009E">
      <w:pPr>
        <w:spacing w:after="240" w:lineRule="auto"/>
        <w:jc w:val="both"/>
        <w:rPr>
          <w:rFonts w:ascii="Arial" w:cs="Arial" w:eastAsia="Arial" w:hAnsi="Arial"/>
          <w:sz w:val="24"/>
          <w:szCs w:val="24"/>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09F">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A1">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0A3">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A4">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A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A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A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AA">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AB">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AC">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A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AF">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B3">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0B4">
      <w:pPr>
        <w:rPr>
          <w:rFonts w:ascii="Arial" w:cs="Arial" w:eastAsia="Arial" w:hAnsi="Arial"/>
          <w:color w:val="1f497d"/>
          <w:sz w:val="24"/>
          <w:szCs w:val="24"/>
        </w:rPr>
      </w:pPr>
      <w:r w:rsidDel="00000000" w:rsidR="00000000" w:rsidRPr="00000000">
        <w:rPr>
          <w:rFonts w:ascii="Arial" w:cs="Arial" w:eastAsia="Arial" w:hAnsi="Arial"/>
          <w:color w:val="1f497d"/>
          <w:sz w:val="24"/>
          <w:szCs w:val="24"/>
          <w:highlight w:val="yellow"/>
          <w:rtl w:val="0"/>
        </w:rPr>
        <w:t xml:space="preserve">[</w:t>
      </w:r>
      <w:r w:rsidDel="00000000" w:rsidR="00000000" w:rsidRPr="00000000">
        <w:rPr>
          <w:rFonts w:ascii="Arial" w:cs="Arial" w:eastAsia="Arial" w:hAnsi="Arial"/>
          <w:b w:val="1"/>
          <w:color w:val="1f497d"/>
          <w:sz w:val="24"/>
          <w:szCs w:val="24"/>
          <w:highlight w:val="yellow"/>
          <w:rtl w:val="0"/>
        </w:rPr>
        <w:t xml:space="preserve">Buyer g</w:t>
      </w:r>
      <w:r w:rsidDel="00000000" w:rsidR="00000000" w:rsidRPr="00000000">
        <w:rPr>
          <w:rFonts w:ascii="Arial" w:cs="Arial" w:eastAsia="Arial" w:hAnsi="Arial"/>
          <w:b w:val="1"/>
          <w:sz w:val="24"/>
          <w:szCs w:val="24"/>
          <w:highlight w:val="yellow"/>
          <w:rtl w:val="0"/>
        </w:rPr>
        <w:t xml:space="preserve">uidance: </w:t>
      </w:r>
      <w:r w:rsidDel="00000000" w:rsidR="00000000" w:rsidRPr="00000000">
        <w:rPr>
          <w:rFonts w:ascii="Arial" w:cs="Arial" w:eastAsia="Arial" w:hAnsi="Arial"/>
          <w:color w:val="1f497d"/>
          <w:sz w:val="24"/>
          <w:szCs w:val="24"/>
          <w:rtl w:val="0"/>
        </w:rPr>
        <w:t xml:space="preserve">e</w:t>
      </w:r>
      <w:r w:rsidDel="00000000" w:rsidR="00000000" w:rsidRPr="00000000">
        <w:rPr>
          <w:rFonts w:ascii="Arial" w:cs="Arial" w:eastAsia="Arial" w:hAnsi="Arial"/>
          <w:sz w:val="24"/>
          <w:szCs w:val="24"/>
          <w:rtl w:val="0"/>
        </w:rPr>
        <w:t xml:space="preserv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6">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ANNEX A</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36"/>
          <w:szCs w:val="36"/>
          <w:u w:val="none"/>
          <w:shd w:fill="auto" w:val="clear"/>
          <w:vertAlign w:val="baseline"/>
        </w:rPr>
      </w:pPr>
      <w:r w:rsidDel="00000000" w:rsidR="00000000" w:rsidRPr="00000000">
        <w:rPr>
          <w:rFonts w:ascii="Verdana" w:cs="Verdana" w:eastAsia="Verdana" w:hAnsi="Verdana"/>
          <w:b w:val="1"/>
          <w:i w:val="0"/>
          <w:smallCaps w:val="0"/>
          <w:strike w:val="0"/>
          <w:color w:val="000000"/>
          <w:sz w:val="36"/>
          <w:szCs w:val="36"/>
          <w:u w:val="none"/>
          <w:shd w:fill="auto" w:val="clear"/>
          <w:vertAlign w:val="baseline"/>
          <w:rtl w:val="0"/>
        </w:rPr>
        <w:t xml:space="preserve">Condition for Output price index based VOP Arrangement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Variation of Price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 The prices stated in the Schedule of Requirements are FIXED at </w:t>
      </w:r>
      <w:r w:rsidDel="00000000" w:rsidR="00000000" w:rsidRPr="00000000">
        <w:rPr>
          <w:rFonts w:ascii="Verdana" w:cs="Verdana" w:eastAsia="Verdana" w:hAnsi="Verdana"/>
          <w:b w:val="0"/>
          <w:i w:val="0"/>
          <w:smallCaps w:val="0"/>
          <w:strike w:val="0"/>
          <w:color w:val="000000"/>
          <w:sz w:val="22"/>
          <w:szCs w:val="22"/>
          <w:highlight w:val="yellow"/>
          <w:u w:val="none"/>
          <w:vertAlign w:val="baseline"/>
          <w:rtl w:val="0"/>
        </w:rPr>
        <w:t xml:space="preserve">[date will be populated at contract award – will be from contract start date]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price levels. The prices do not include provision beyond this date for increases or decreases in the market price of the Articles being purchased. Any such variation shall be calculated in accordance with the following formula: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 = P (a+b (O</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P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Where: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 represents the variation of price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 represents the FIXED price as stated in the Schedule of Requirements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 represents the index HQTI - Top Level SPPI, Sections H to U excl. Section K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0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represents the average OUTPUT Price Index figure for the base period </w:t>
      </w:r>
      <w:r w:rsidDel="00000000" w:rsidR="00000000" w:rsidRPr="00000000">
        <w:rPr>
          <w:rFonts w:ascii="Verdana" w:cs="Verdana" w:eastAsia="Verdana" w:hAnsi="Verdana"/>
          <w:b w:val="0"/>
          <w:i w:val="0"/>
          <w:smallCaps w:val="0"/>
          <w:strike w:val="0"/>
          <w:color w:val="000000"/>
          <w:sz w:val="22"/>
          <w:szCs w:val="22"/>
          <w:highlight w:val="yellow"/>
          <w:u w:val="none"/>
          <w:vertAlign w:val="baseline"/>
          <w:rtl w:val="0"/>
        </w:rPr>
        <w:t xml:space="preserve">[Date to be populated at contract award – will be from start of year 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w:t>
      </w:r>
      <w:r w:rsidDel="00000000" w:rsidR="00000000" w:rsidRPr="00000000">
        <w:rPr>
          <w:rFonts w:ascii="Verdana" w:cs="Verdana" w:eastAsia="Verdana" w:hAnsi="Verdana"/>
          <w:b w:val="0"/>
          <w:i w:val="0"/>
          <w:smallCaps w:val="0"/>
          <w:strike w:val="0"/>
          <w:color w:val="000000"/>
          <w:sz w:val="22"/>
          <w:szCs w:val="22"/>
          <w:highlight w:val="yellow"/>
          <w:u w:val="none"/>
          <w:vertAlign w:val="baseline"/>
          <w:rtl w:val="0"/>
        </w:rPr>
        <w:t xml:space="preserve">[Date to be populated at contract award – will be until end of contract]</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i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represents the average OUTPUT Price Index figure for the period </w:t>
      </w:r>
      <w:r w:rsidDel="00000000" w:rsidR="00000000" w:rsidRPr="00000000">
        <w:rPr>
          <w:rFonts w:ascii="Verdana" w:cs="Verdana" w:eastAsia="Verdana" w:hAnsi="Verdana"/>
          <w:b w:val="0"/>
          <w:i w:val="0"/>
          <w:smallCaps w:val="0"/>
          <w:strike w:val="0"/>
          <w:color w:val="000000"/>
          <w:sz w:val="22"/>
          <w:szCs w:val="22"/>
          <w:highlight w:val="yellow"/>
          <w:u w:val="none"/>
          <w:vertAlign w:val="baseline"/>
          <w:rtl w:val="0"/>
        </w:rPr>
        <w:t xml:space="preserve">[Date to be populated at contract award – will be from start of year 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w:t>
      </w:r>
      <w:r w:rsidDel="00000000" w:rsidR="00000000" w:rsidRPr="00000000">
        <w:rPr>
          <w:rFonts w:ascii="Verdana" w:cs="Verdana" w:eastAsia="Verdana" w:hAnsi="Verdana"/>
          <w:b w:val="0"/>
          <w:i w:val="0"/>
          <w:smallCaps w:val="0"/>
          <w:strike w:val="0"/>
          <w:color w:val="000000"/>
          <w:sz w:val="22"/>
          <w:szCs w:val="22"/>
          <w:highlight w:val="yellow"/>
          <w:u w:val="none"/>
          <w:vertAlign w:val="baseline"/>
          <w:rtl w:val="0"/>
        </w:rPr>
        <w:t xml:space="preserve">[Date to be populated at contract award – will be until end of contract]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represents the Non- Variable Element (NVE)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 represents the Variable Element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a+b=1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 The Index referred to in Clause 1 above shall be taken from the following Tables: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OUTPUT Price Index - e.g. ONS Publication MM22 Table 2 'Price Indices of UK OUTPUT: All Manufacturing and Selected Industries', or, Table 4 'Price Indices of Products Manufactured in the UK'.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 Indices published with a ‘B’ or ‘F’ marker, or a suppressed value, in the last 3 years are not valid for Variation of Price clauses and shall not be used. Where the price index has an ‘F’ marker or suppression applied to it during the term of the Contract, the Authority and the Contractor shall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agree an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appropriate replacement index or indices. The replacement index or indices shall cover, to the maximum extent possible, the same economic activities as the original index or indices.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 In the event that any material changes are made to the indices (e.g. a revised statistical base date) during the period of the contract and before final adjustment of the final contract price, then the re-basing methodology outlined by the Office for National Statistics (ONS, the series providers) to match the original index to the new series shall be applied.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 In the event the agreed index or indices cease to be published (e.g. because of a change in the Standard Industrial Classification) the Authority and the Contractor shall agree an appropriate replacement index or indices, which shall cover to the maximum extent possible the same economic activities as the original index or indices. The methodology outlined by the Office for National Statistics used for rebasing indices (as in Clause 4 above) shall then be applied.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 Notwithstanding the above, any extant index / indices agreed in the Contract shall continue to be used as long as it is / they are available and subject to ONS revisions policy. Payments calculated using the extant index / indices during its / their currency shall not be amended retrospectively as a result of any change to the index or indices.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 The Contractor shall notify the Authority of any significant changes in the purchasing / manufacturing plan on the basis of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 Prices shall be adjusted taking into account the effect of the above formula as soon as possible after publication of the relevant indices or at a later date if so agreed between the Authority and the Contractor. Where an index value is subsequently amended, the Authority and the Contractor shall agree a fair and reasonable adjustment to the price, as necessary.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9. Claims under this Condition shall be submitted to the Bill Paying Branch, certified to the effect that the “requirements of this Clause at Annex A of Framework Schedule 6” have been met. </w:t>
      </w:r>
    </w:p>
    <w:p w:rsidR="00000000" w:rsidDel="00000000" w:rsidP="00000000" w:rsidRDefault="00000000" w:rsidRPr="00000000" w14:paraId="000000D7">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0D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tab/>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v3.8</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0"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Default" w:customStyle="1">
    <w:name w:val="Default"/>
    <w:rsid w:val="005D120E"/>
    <w:pPr>
      <w:autoSpaceDE w:val="0"/>
      <w:autoSpaceDN w:val="0"/>
      <w:adjustRightInd w:val="0"/>
      <w:spacing w:after="0" w:line="240" w:lineRule="auto"/>
    </w:pPr>
    <w:rPr>
      <w:rFonts w:ascii="Verdana" w:cs="Verdana" w:hAnsi="Verdana" w:eastAsiaTheme="minorHAnsi"/>
      <w:color w:val="000000"/>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N8uFyb2yhpAA9mzBcm/Ctg1KA==">AMUW2mU7fEAL2+8ju3UvvRKE1t45W1LJOUrjUxQl/53MV2f/5iR3fCobXldu5ccbXRv3jYEkjef3qSfvu9Uzn6UAgk5TyEGQt0RL65EffRP4bIIZhcLqJrhI+/pRwn6oZxa9IUdHAjID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2021-06-28T10:08:00Z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0x010100D9D675D6CDED02438DC7CFF78D2F29E40100F41FC1A126404746A5EC3AB3B7E70536</vt:lpwstr>
  </property>
  <property fmtid="{D5CDD505-2E9C-101B-9397-08002B2CF9AE}" pid="4" name="Subject Category">
    <vt:lpwstr>1;#Commercial management|c7bfc38b-b92e-48a9-a720-4aac77c6e02f</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5;#Def Comrcl SSM|445006ed-70fc-455c-af51-92c8afeb011a</vt:lpwstr>
  </property>
  <property fmtid="{D5CDD505-2E9C-101B-9397-08002B2CF9AE}" pid="8" name="fileplanid">
    <vt:lpwstr>4;#04 Deliver the Unit's objectives|954cf193-6423-4137-9b07-8b4f402d8d43</vt:lpwstr>
  </property>
  <property fmtid="{D5CDD505-2E9C-101B-9397-08002B2CF9AE}" pid="9" name="Subject Keywords">
    <vt:lpwstr>2;#Crown Commercial Service|5e9c7cee-5f8a-4158-99d9-cfee3de25489</vt:lpwstr>
  </property>
  <property fmtid="{D5CDD505-2E9C-101B-9397-08002B2CF9AE}" pid="10" name="TaxKeyword">
    <vt:lpwstr/>
  </property>
</Properties>
</file>