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F2C5" w14:textId="6B978510" w:rsidR="0029435D" w:rsidRPr="00E404E5" w:rsidRDefault="00355227" w:rsidP="0029435D">
      <w:pPr>
        <w:pStyle w:val="Header"/>
        <w:tabs>
          <w:tab w:val="clear" w:pos="4153"/>
          <w:tab w:val="clear" w:pos="8306"/>
          <w:tab w:val="left" w:pos="720"/>
          <w:tab w:val="center" w:pos="4513"/>
          <w:tab w:val="right" w:pos="9026"/>
        </w:tabs>
        <w:spacing w:after="0" w:line="240" w:lineRule="auto"/>
        <w:rPr>
          <w:rFonts w:ascii="Arial" w:hAnsi="Arial" w:cs="Arial"/>
          <w:b/>
          <w:caps/>
          <w:sz w:val="36"/>
          <w:szCs w:val="36"/>
        </w:rPr>
      </w:pPr>
      <w:r w:rsidRPr="00355227">
        <w:rPr>
          <w:rFonts w:ascii="Arial" w:eastAsia="Calibri" w:hAnsi="Arial" w:cs="Arial"/>
          <w:b/>
          <w:sz w:val="36"/>
          <w:szCs w:val="36"/>
        </w:rPr>
        <w:t>Call-Off Schedule 5</w:t>
      </w:r>
      <w:r w:rsidR="008853B0">
        <w:rPr>
          <w:rFonts w:ascii="Arial" w:eastAsia="Calibri" w:hAnsi="Arial" w:cs="Arial"/>
          <w:b/>
          <w:sz w:val="36"/>
          <w:szCs w:val="36"/>
        </w:rPr>
        <w:t>A</w:t>
      </w:r>
      <w:r w:rsidRPr="00355227">
        <w:rPr>
          <w:rFonts w:ascii="Arial" w:eastAsia="Calibri" w:hAnsi="Arial" w:cs="Arial"/>
          <w:b/>
          <w:sz w:val="36"/>
          <w:szCs w:val="36"/>
        </w:rPr>
        <w:t xml:space="preserve"> </w:t>
      </w:r>
      <w:r w:rsidRPr="00E404E5">
        <w:rPr>
          <w:rFonts w:ascii="Arial" w:eastAsia="Calibri" w:hAnsi="Arial" w:cs="Arial"/>
          <w:b/>
          <w:sz w:val="36"/>
          <w:szCs w:val="36"/>
        </w:rPr>
        <w:t>(</w:t>
      </w:r>
      <w:r w:rsidR="00AA3116">
        <w:rPr>
          <w:rFonts w:ascii="Arial" w:eastAsia="Calibri" w:hAnsi="Arial" w:cs="Arial"/>
          <w:b/>
          <w:sz w:val="36"/>
          <w:szCs w:val="36"/>
        </w:rPr>
        <w:t xml:space="preserve">Health </w:t>
      </w:r>
      <w:r w:rsidRPr="00E404E5">
        <w:rPr>
          <w:rFonts w:ascii="Arial" w:eastAsia="Calibri" w:hAnsi="Arial" w:cs="Arial"/>
          <w:b/>
          <w:sz w:val="36"/>
          <w:szCs w:val="36"/>
        </w:rPr>
        <w:t>Pricing Details</w:t>
      </w:r>
      <w:r w:rsidR="00E404E5" w:rsidRPr="00E404E5">
        <w:rPr>
          <w:rFonts w:ascii="Arial" w:eastAsia="Calibri" w:hAnsi="Arial" w:cs="Arial"/>
          <w:b/>
          <w:sz w:val="36"/>
          <w:szCs w:val="36"/>
        </w:rPr>
        <w:t xml:space="preserve"> and Expenses Policy</w:t>
      </w:r>
      <w:r w:rsidRPr="00E404E5">
        <w:rPr>
          <w:rFonts w:ascii="Arial" w:eastAsia="Calibri" w:hAnsi="Arial" w:cs="Arial"/>
          <w:b/>
          <w:sz w:val="36"/>
          <w:szCs w:val="36"/>
        </w:rPr>
        <w:t>)</w:t>
      </w:r>
    </w:p>
    <w:p w14:paraId="251342F7" w14:textId="77777777" w:rsidR="00355227" w:rsidRPr="00E404E5" w:rsidRDefault="00355227" w:rsidP="0029435D">
      <w:pPr>
        <w:pStyle w:val="Header"/>
        <w:tabs>
          <w:tab w:val="clear" w:pos="4153"/>
          <w:tab w:val="clear" w:pos="8306"/>
          <w:tab w:val="left" w:pos="720"/>
          <w:tab w:val="center" w:pos="4513"/>
          <w:tab w:val="right" w:pos="9026"/>
        </w:tabs>
        <w:spacing w:after="0" w:line="240" w:lineRule="auto"/>
        <w:rPr>
          <w:rFonts w:ascii="Arial" w:hAnsi="Arial" w:cs="Arial"/>
          <w:b/>
          <w:caps/>
          <w:sz w:val="24"/>
          <w:szCs w:val="22"/>
        </w:rPr>
      </w:pPr>
    </w:p>
    <w:p w14:paraId="62C90B96" w14:textId="11F11A2F" w:rsidR="00100FF4" w:rsidRDefault="0029435D" w:rsidP="0029435D">
      <w:pPr>
        <w:overflowPunct/>
        <w:autoSpaceDE/>
        <w:autoSpaceDN/>
        <w:adjustRightInd/>
        <w:spacing w:after="200" w:line="276" w:lineRule="auto"/>
        <w:jc w:val="left"/>
        <w:textAlignment w:val="auto"/>
        <w:rPr>
          <w:rFonts w:ascii="Arial" w:eastAsia="Calibri" w:hAnsi="Arial" w:cs="Arial"/>
          <w:sz w:val="24"/>
          <w:szCs w:val="22"/>
          <w:highlight w:val="yellow"/>
        </w:rPr>
      </w:pPr>
      <w:r w:rsidRPr="00F951FB">
        <w:rPr>
          <w:rFonts w:ascii="Arial" w:eastAsia="Calibri" w:hAnsi="Arial" w:cs="Arial"/>
          <w:b/>
          <w:sz w:val="24"/>
          <w:szCs w:val="22"/>
          <w:highlight w:val="yellow"/>
        </w:rPr>
        <w:t xml:space="preserve">[Guidance Note: </w:t>
      </w:r>
      <w:r w:rsidRPr="00F951FB">
        <w:rPr>
          <w:rFonts w:ascii="Arial" w:eastAsia="Calibri" w:hAnsi="Arial" w:cs="Arial"/>
          <w:sz w:val="24"/>
          <w:szCs w:val="22"/>
          <w:highlight w:val="yellow"/>
        </w:rPr>
        <w:t xml:space="preserve">This Schedule should be used </w:t>
      </w:r>
      <w:r w:rsidR="001C15EF" w:rsidRPr="00F951FB">
        <w:rPr>
          <w:rFonts w:ascii="Arial" w:eastAsia="Calibri" w:hAnsi="Arial" w:cs="Arial"/>
          <w:sz w:val="24"/>
          <w:szCs w:val="22"/>
          <w:highlight w:val="yellow"/>
        </w:rPr>
        <w:t xml:space="preserve">to show further detailed pricing information, in addition to the pricing </w:t>
      </w:r>
      <w:r w:rsidR="008C4565" w:rsidRPr="00F951FB">
        <w:rPr>
          <w:rFonts w:ascii="Arial" w:eastAsia="Calibri" w:hAnsi="Arial" w:cs="Arial"/>
          <w:sz w:val="24"/>
          <w:szCs w:val="22"/>
          <w:highlight w:val="yellow"/>
        </w:rPr>
        <w:t xml:space="preserve">in the </w:t>
      </w:r>
      <w:r w:rsidRPr="00F951FB">
        <w:rPr>
          <w:rFonts w:ascii="Arial" w:eastAsia="Calibri" w:hAnsi="Arial" w:cs="Arial"/>
          <w:sz w:val="24"/>
          <w:szCs w:val="22"/>
          <w:highlight w:val="yellow"/>
        </w:rPr>
        <w:t>Order Form</w:t>
      </w:r>
      <w:r w:rsidR="008D656D">
        <w:rPr>
          <w:rFonts w:ascii="Arial" w:eastAsia="Calibri" w:hAnsi="Arial" w:cs="Arial"/>
          <w:sz w:val="24"/>
          <w:szCs w:val="22"/>
          <w:highlight w:val="yellow"/>
        </w:rPr>
        <w:t>. Suppliers</w:t>
      </w:r>
      <w:r w:rsidR="002278A8">
        <w:rPr>
          <w:rFonts w:ascii="Arial" w:eastAsia="Calibri" w:hAnsi="Arial" w:cs="Arial"/>
          <w:sz w:val="24"/>
          <w:szCs w:val="22"/>
          <w:highlight w:val="yellow"/>
        </w:rPr>
        <w:t xml:space="preserve"> and Subcontractors</w:t>
      </w:r>
      <w:r w:rsidR="008D656D">
        <w:rPr>
          <w:rFonts w:ascii="Arial" w:eastAsia="Calibri" w:hAnsi="Arial" w:cs="Arial"/>
          <w:sz w:val="24"/>
          <w:szCs w:val="22"/>
          <w:highlight w:val="yellow"/>
        </w:rPr>
        <w:t xml:space="preserve"> should provide rate cards for each jurisdiction </w:t>
      </w:r>
      <w:r w:rsidR="002278A8">
        <w:rPr>
          <w:rFonts w:ascii="Arial" w:eastAsia="Calibri" w:hAnsi="Arial" w:cs="Arial"/>
          <w:sz w:val="24"/>
          <w:szCs w:val="22"/>
          <w:highlight w:val="yellow"/>
        </w:rPr>
        <w:t>from which any element of the Deliverables may be provided.</w:t>
      </w:r>
      <w:r w:rsidR="00355227" w:rsidRPr="00F951FB">
        <w:rPr>
          <w:rFonts w:ascii="Arial" w:eastAsia="Calibri" w:hAnsi="Arial" w:cs="Arial"/>
          <w:sz w:val="24"/>
          <w:szCs w:val="22"/>
          <w:highlight w:val="yellow"/>
        </w:rPr>
        <w:t xml:space="preserve">] </w:t>
      </w:r>
    </w:p>
    <w:p w14:paraId="701B64EE" w14:textId="11BC7B3D" w:rsidR="008C4565" w:rsidRPr="005960EE" w:rsidRDefault="00221D88" w:rsidP="00704D26">
      <w:pPr>
        <w:pStyle w:val="ListParagraph"/>
        <w:widowControl w:val="0"/>
        <w:numPr>
          <w:ilvl w:val="0"/>
          <w:numId w:val="89"/>
        </w:numPr>
        <w:overflowPunct/>
        <w:autoSpaceDE/>
        <w:autoSpaceDN/>
        <w:adjustRightInd/>
        <w:spacing w:before="120" w:after="120" w:line="276" w:lineRule="auto"/>
        <w:ind w:left="567" w:hanging="567"/>
        <w:jc w:val="left"/>
        <w:textAlignment w:val="auto"/>
        <w:rPr>
          <w:rFonts w:ascii="Arial" w:eastAsia="Calibri" w:hAnsi="Arial" w:cs="Arial"/>
          <w:b/>
          <w:bCs/>
          <w:sz w:val="24"/>
          <w:szCs w:val="24"/>
        </w:rPr>
      </w:pPr>
      <w:r w:rsidRPr="18640E6A">
        <w:rPr>
          <w:rFonts w:ascii="Arial" w:eastAsia="Calibri" w:hAnsi="Arial" w:cs="Arial"/>
          <w:b/>
          <w:bCs/>
          <w:sz w:val="24"/>
          <w:szCs w:val="24"/>
        </w:rPr>
        <w:t>Supplier’s Further Pricing Information</w:t>
      </w:r>
    </w:p>
    <w:p w14:paraId="04B188BF" w14:textId="62E4F471" w:rsidR="00A21658" w:rsidRPr="005960EE" w:rsidRDefault="00A21658"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005960EE">
        <w:rPr>
          <w:rFonts w:ascii="Arial" w:eastAsia="Calibri" w:hAnsi="Arial" w:cs="Arial"/>
          <w:sz w:val="24"/>
          <w:szCs w:val="24"/>
        </w:rPr>
        <w:t>The prices set out in this Schedule:</w:t>
      </w:r>
    </w:p>
    <w:p w14:paraId="29D7B47F" w14:textId="77777777" w:rsidR="00A21658" w:rsidRPr="00A21658" w:rsidRDefault="00A21658" w:rsidP="0038487E">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sidRPr="00A21658">
        <w:rPr>
          <w:rFonts w:ascii="Arial" w:eastAsia="Calibri" w:hAnsi="Arial" w:cs="Arial"/>
          <w:sz w:val="24"/>
          <w:szCs w:val="24"/>
        </w:rPr>
        <w:t>are those set out at Annex 1 to this Schedule;</w:t>
      </w:r>
    </w:p>
    <w:p w14:paraId="53342CF3" w14:textId="5D5AD0B1" w:rsidR="00A21658" w:rsidRPr="00A21658" w:rsidRDefault="00A21658" w:rsidP="0038487E">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sidRPr="00A21658">
        <w:rPr>
          <w:rFonts w:ascii="Arial" w:eastAsia="Calibri" w:hAnsi="Arial" w:cs="Arial"/>
          <w:sz w:val="24"/>
          <w:szCs w:val="24"/>
        </w:rPr>
        <w:t>are maximum</w:t>
      </w:r>
      <w:r w:rsidR="00EB044C">
        <w:rPr>
          <w:rFonts w:ascii="Arial" w:eastAsia="Calibri" w:hAnsi="Arial" w:cs="Arial"/>
          <w:sz w:val="24"/>
          <w:szCs w:val="24"/>
        </w:rPr>
        <w:t xml:space="preserve"> rate</w:t>
      </w:r>
      <w:r w:rsidRPr="00A21658">
        <w:rPr>
          <w:rFonts w:ascii="Arial" w:eastAsia="Calibri" w:hAnsi="Arial" w:cs="Arial"/>
          <w:sz w:val="24"/>
          <w:szCs w:val="24"/>
        </w:rPr>
        <w:t xml:space="preserve">s that the Supplier may charge under </w:t>
      </w:r>
      <w:r>
        <w:rPr>
          <w:rFonts w:ascii="Arial" w:eastAsia="Calibri" w:hAnsi="Arial" w:cs="Arial"/>
          <w:sz w:val="24"/>
          <w:szCs w:val="24"/>
        </w:rPr>
        <w:t>this</w:t>
      </w:r>
      <w:r w:rsidRPr="00A21658">
        <w:rPr>
          <w:rFonts w:ascii="Arial" w:eastAsia="Calibri" w:hAnsi="Arial" w:cs="Arial"/>
          <w:sz w:val="24"/>
          <w:szCs w:val="24"/>
        </w:rPr>
        <w:t xml:space="preserve"> Call-Off Contract; </w:t>
      </w:r>
    </w:p>
    <w:p w14:paraId="13AD44B1" w14:textId="72A9F776" w:rsidR="00A21658" w:rsidRPr="00962018" w:rsidRDefault="00A21658" w:rsidP="0038487E">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sidRPr="00A21658">
        <w:rPr>
          <w:rFonts w:ascii="Arial" w:eastAsia="Calibri" w:hAnsi="Arial" w:cs="Arial"/>
          <w:sz w:val="24"/>
          <w:szCs w:val="24"/>
        </w:rPr>
        <w:t>are all inclusive</w:t>
      </w:r>
      <w:r w:rsidR="008D656D">
        <w:rPr>
          <w:rFonts w:ascii="Arial" w:eastAsia="Calibri" w:hAnsi="Arial" w:cs="Arial"/>
          <w:sz w:val="24"/>
          <w:szCs w:val="24"/>
        </w:rPr>
        <w:t xml:space="preserve"> (save for expenses reasonably incurred in accordance with </w:t>
      </w:r>
      <w:r w:rsidR="00962018" w:rsidRPr="001E1F72">
        <w:rPr>
          <w:rFonts w:ascii="Arial" w:eastAsia="Calibri" w:hAnsi="Arial" w:cs="Arial"/>
          <w:sz w:val="24"/>
          <w:szCs w:val="24"/>
        </w:rPr>
        <w:t>P</w:t>
      </w:r>
      <w:r w:rsidR="008D656D" w:rsidRPr="004A7418">
        <w:rPr>
          <w:rFonts w:ascii="Arial" w:eastAsia="Calibri" w:hAnsi="Arial" w:cs="Arial"/>
          <w:sz w:val="24"/>
          <w:szCs w:val="24"/>
        </w:rPr>
        <w:t>aragraph</w:t>
      </w:r>
      <w:r w:rsidR="00A32418" w:rsidRPr="004A7418">
        <w:rPr>
          <w:rFonts w:ascii="Arial" w:eastAsia="Calibri" w:hAnsi="Arial" w:cs="Arial"/>
          <w:sz w:val="24"/>
          <w:szCs w:val="24"/>
        </w:rPr>
        <w:t xml:space="preserve"> </w:t>
      </w:r>
      <w:r w:rsidR="00962018" w:rsidRPr="00962018">
        <w:rPr>
          <w:rFonts w:ascii="Arial" w:eastAsia="Calibri" w:hAnsi="Arial" w:cs="Arial"/>
          <w:sz w:val="24"/>
          <w:szCs w:val="24"/>
        </w:rPr>
        <w:fldChar w:fldCharType="begin"/>
      </w:r>
      <w:r w:rsidR="00962018" w:rsidRPr="004A7418">
        <w:rPr>
          <w:rFonts w:ascii="Arial" w:eastAsia="Calibri" w:hAnsi="Arial" w:cs="Arial"/>
          <w:sz w:val="24"/>
          <w:szCs w:val="24"/>
        </w:rPr>
        <w:instrText xml:space="preserve"> REF _Ref45794985 \r \h  \* MERGEFORMAT </w:instrText>
      </w:r>
      <w:r w:rsidR="00962018" w:rsidRPr="00962018">
        <w:rPr>
          <w:rFonts w:ascii="Arial" w:eastAsia="Calibri" w:hAnsi="Arial" w:cs="Arial"/>
          <w:sz w:val="24"/>
          <w:szCs w:val="24"/>
        </w:rPr>
      </w:r>
      <w:r w:rsidR="00962018" w:rsidRPr="00962018">
        <w:rPr>
          <w:rFonts w:ascii="Arial" w:eastAsia="Calibri" w:hAnsi="Arial" w:cs="Arial"/>
          <w:sz w:val="24"/>
          <w:szCs w:val="24"/>
        </w:rPr>
        <w:fldChar w:fldCharType="separate"/>
      </w:r>
      <w:r w:rsidR="00962018" w:rsidRPr="00962018">
        <w:rPr>
          <w:rFonts w:ascii="Arial" w:eastAsia="Calibri" w:hAnsi="Arial" w:cs="Arial"/>
          <w:sz w:val="24"/>
          <w:szCs w:val="24"/>
        </w:rPr>
        <w:t>8</w:t>
      </w:r>
      <w:r w:rsidR="00962018" w:rsidRPr="00962018">
        <w:rPr>
          <w:rFonts w:ascii="Arial" w:eastAsia="Calibri" w:hAnsi="Arial" w:cs="Arial"/>
          <w:sz w:val="24"/>
          <w:szCs w:val="24"/>
        </w:rPr>
        <w:fldChar w:fldCharType="end"/>
      </w:r>
      <w:r w:rsidR="000943D1" w:rsidRPr="007F45DC">
        <w:rPr>
          <w:rFonts w:ascii="Arial" w:eastAsia="Calibri" w:hAnsi="Arial" w:cs="Arial"/>
          <w:sz w:val="24"/>
          <w:szCs w:val="24"/>
        </w:rPr>
        <w:t>)</w:t>
      </w:r>
      <w:r w:rsidRPr="007F45DC">
        <w:rPr>
          <w:rFonts w:ascii="Arial" w:eastAsia="Calibri" w:hAnsi="Arial" w:cs="Arial"/>
          <w:sz w:val="24"/>
          <w:szCs w:val="24"/>
        </w:rPr>
        <w:t>; and</w:t>
      </w:r>
    </w:p>
    <w:p w14:paraId="7930E8AE" w14:textId="4A3E4D7C" w:rsidR="00A21658" w:rsidRPr="003034A4" w:rsidRDefault="00A21658" w:rsidP="0038487E">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sidRPr="00A21658">
        <w:rPr>
          <w:rFonts w:ascii="Arial" w:eastAsia="Calibri" w:hAnsi="Arial" w:cs="Arial"/>
          <w:sz w:val="24"/>
          <w:szCs w:val="24"/>
        </w:rPr>
        <w:t xml:space="preserve">cannot be increased except as </w:t>
      </w:r>
      <w:r w:rsidR="00C1684D">
        <w:rPr>
          <w:rFonts w:ascii="Arial" w:eastAsia="Calibri" w:hAnsi="Arial" w:cs="Arial"/>
          <w:sz w:val="24"/>
          <w:szCs w:val="24"/>
        </w:rPr>
        <w:t>agreed in writing</w:t>
      </w:r>
      <w:r w:rsidRPr="00A21658">
        <w:rPr>
          <w:rFonts w:ascii="Arial" w:eastAsia="Calibri" w:hAnsi="Arial" w:cs="Arial"/>
          <w:sz w:val="24"/>
          <w:szCs w:val="24"/>
        </w:rPr>
        <w:t xml:space="preserve"> in accordance with this Schedule. </w:t>
      </w:r>
    </w:p>
    <w:p w14:paraId="1ADC6595" w14:textId="77777777" w:rsidR="002315D5" w:rsidRPr="004A7418" w:rsidRDefault="002315D5" w:rsidP="002315D5">
      <w:pPr>
        <w:pStyle w:val="ListParagraph"/>
        <w:widowControl w:val="0"/>
        <w:numPr>
          <w:ilvl w:val="0"/>
          <w:numId w:val="89"/>
        </w:numPr>
        <w:overflowPunct/>
        <w:autoSpaceDE/>
        <w:autoSpaceDN/>
        <w:adjustRightInd/>
        <w:spacing w:before="120" w:after="120" w:line="276" w:lineRule="auto"/>
        <w:ind w:left="431" w:hanging="431"/>
        <w:jc w:val="left"/>
        <w:textAlignment w:val="auto"/>
        <w:rPr>
          <w:rFonts w:ascii="Arial" w:eastAsia="Calibri" w:hAnsi="Arial" w:cs="Arial"/>
          <w:b/>
          <w:sz w:val="24"/>
          <w:szCs w:val="24"/>
        </w:rPr>
      </w:pPr>
      <w:bookmarkStart w:id="0" w:name="_Ref46314323"/>
      <w:r w:rsidRPr="004A7418">
        <w:rPr>
          <w:rFonts w:ascii="Arial" w:eastAsia="Calibri" w:hAnsi="Arial" w:cs="Arial"/>
          <w:b/>
          <w:sz w:val="24"/>
          <w:szCs w:val="24"/>
        </w:rPr>
        <w:t>Applicable Pricing Mechanism</w:t>
      </w:r>
      <w:bookmarkEnd w:id="0"/>
      <w:r w:rsidRPr="004A7418">
        <w:rPr>
          <w:rFonts w:ascii="Arial" w:eastAsia="Calibri" w:hAnsi="Arial" w:cs="Arial"/>
          <w:b/>
          <w:sz w:val="24"/>
          <w:szCs w:val="24"/>
        </w:rPr>
        <w:t xml:space="preserve"> </w:t>
      </w:r>
    </w:p>
    <w:p w14:paraId="1431D35B" w14:textId="7777777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Under each Call-Off Contract, the overall Charges estimate shall be provided in the form of a Capped Time and Materials price underpinned by the Call-Off Contract specific rate prices included within Annex 1 of this Schedule.</w:t>
      </w:r>
    </w:p>
    <w:p w14:paraId="568615CF" w14:textId="7777777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The pricing mechanisms to be used under this Call-Off Contract</w:t>
      </w:r>
      <w:r w:rsidRPr="005960EE">
        <w:rPr>
          <w:rFonts w:ascii="Arial" w:eastAsia="Calibri" w:hAnsi="Arial" w:cs="Arial"/>
          <w:sz w:val="24"/>
          <w:szCs w:val="24"/>
        </w:rPr>
        <w:t xml:space="preserve"> shall be confirmed in </w:t>
      </w:r>
      <w:r>
        <w:rPr>
          <w:rFonts w:ascii="Arial" w:eastAsia="Calibri" w:hAnsi="Arial" w:cs="Arial"/>
          <w:sz w:val="24"/>
          <w:szCs w:val="24"/>
        </w:rPr>
        <w:t>each Statement of Work</w:t>
      </w:r>
      <w:r w:rsidRPr="005960EE">
        <w:rPr>
          <w:rFonts w:ascii="Arial" w:eastAsia="Calibri" w:hAnsi="Arial" w:cs="Arial"/>
          <w:sz w:val="24"/>
          <w:szCs w:val="24"/>
        </w:rPr>
        <w:t xml:space="preserve"> and </w:t>
      </w:r>
      <w:r>
        <w:rPr>
          <w:rFonts w:ascii="Arial" w:eastAsia="Calibri" w:hAnsi="Arial" w:cs="Arial"/>
          <w:sz w:val="24"/>
          <w:szCs w:val="24"/>
        </w:rPr>
        <w:t xml:space="preserve">Charges shall be </w:t>
      </w:r>
      <w:r w:rsidRPr="005960EE">
        <w:rPr>
          <w:rFonts w:ascii="Arial" w:eastAsia="Calibri" w:hAnsi="Arial" w:cs="Arial"/>
          <w:sz w:val="24"/>
          <w:szCs w:val="24"/>
        </w:rPr>
        <w:t>calculated on the basis of the rates and prices specified in Annex 1</w:t>
      </w:r>
      <w:r>
        <w:rPr>
          <w:rFonts w:ascii="Arial" w:eastAsia="Calibri" w:hAnsi="Arial" w:cs="Arial"/>
          <w:sz w:val="24"/>
          <w:szCs w:val="24"/>
        </w:rPr>
        <w:t xml:space="preserve"> which must be no greater than those set out in Framework Schedule 3 (Framework Prices)</w:t>
      </w:r>
      <w:r w:rsidRPr="005960EE">
        <w:rPr>
          <w:rFonts w:ascii="Arial" w:eastAsia="Calibri" w:hAnsi="Arial" w:cs="Arial"/>
          <w:sz w:val="24"/>
          <w:szCs w:val="24"/>
        </w:rPr>
        <w:t>.</w:t>
      </w:r>
    </w:p>
    <w:p w14:paraId="70FF988A" w14:textId="7D19EB7B" w:rsidR="002315D5" w:rsidRPr="006524F9" w:rsidRDefault="00011006"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The p</w:t>
      </w:r>
      <w:r w:rsidR="002315D5" w:rsidRPr="006524F9">
        <w:rPr>
          <w:rFonts w:ascii="Arial" w:eastAsia="Calibri" w:hAnsi="Arial" w:cs="Arial"/>
          <w:sz w:val="24"/>
          <w:szCs w:val="24"/>
        </w:rPr>
        <w:t xml:space="preserve">ricing </w:t>
      </w:r>
      <w:r w:rsidR="0036173A">
        <w:rPr>
          <w:rFonts w:ascii="Arial" w:eastAsia="Calibri" w:hAnsi="Arial" w:cs="Arial"/>
          <w:sz w:val="24"/>
          <w:szCs w:val="24"/>
        </w:rPr>
        <w:t>mechanism</w:t>
      </w:r>
      <w:r>
        <w:rPr>
          <w:rFonts w:ascii="Arial" w:eastAsia="Calibri" w:hAnsi="Arial" w:cs="Arial"/>
          <w:sz w:val="24"/>
          <w:szCs w:val="24"/>
        </w:rPr>
        <w:t xml:space="preserve"> (</w:t>
      </w:r>
      <w:r w:rsidR="008A28DD">
        <w:rPr>
          <w:rFonts w:ascii="Arial" w:eastAsia="Calibri" w:hAnsi="Arial" w:cs="Arial"/>
          <w:sz w:val="24"/>
          <w:szCs w:val="24"/>
        </w:rPr>
        <w:t>Capped Time and Materials</w:t>
      </w:r>
      <w:r>
        <w:rPr>
          <w:rFonts w:ascii="Arial" w:eastAsia="Calibri" w:hAnsi="Arial" w:cs="Arial"/>
          <w:sz w:val="24"/>
          <w:szCs w:val="24"/>
        </w:rPr>
        <w:t xml:space="preserve">, </w:t>
      </w:r>
      <w:r w:rsidR="00686E1F">
        <w:rPr>
          <w:rFonts w:ascii="Arial" w:eastAsia="Calibri" w:hAnsi="Arial" w:cs="Arial"/>
          <w:sz w:val="24"/>
          <w:szCs w:val="24"/>
        </w:rPr>
        <w:t xml:space="preserve">Fixed </w:t>
      </w:r>
      <w:r w:rsidR="008A28DD">
        <w:rPr>
          <w:rFonts w:ascii="Arial" w:eastAsia="Calibri" w:hAnsi="Arial" w:cs="Arial"/>
          <w:sz w:val="24"/>
          <w:szCs w:val="24"/>
        </w:rPr>
        <w:t>Price or Incremental Fixed Price</w:t>
      </w:r>
      <w:r w:rsidR="00686E1F">
        <w:rPr>
          <w:rFonts w:ascii="Arial" w:eastAsia="Calibri" w:hAnsi="Arial" w:cs="Arial"/>
          <w:sz w:val="24"/>
          <w:szCs w:val="24"/>
        </w:rPr>
        <w:t>) applicable</w:t>
      </w:r>
      <w:r w:rsidR="002315D5" w:rsidRPr="006524F9">
        <w:rPr>
          <w:rFonts w:ascii="Arial" w:eastAsia="Calibri" w:hAnsi="Arial" w:cs="Arial"/>
          <w:sz w:val="24"/>
          <w:szCs w:val="24"/>
        </w:rPr>
        <w:t xml:space="preserve"> for specific Deliverables shall be as stated in the relevant Statement of Work. </w:t>
      </w:r>
      <w:r w:rsidR="00A775A9">
        <w:rPr>
          <w:rFonts w:ascii="Arial" w:eastAsia="Calibri" w:hAnsi="Arial" w:cs="Arial"/>
          <w:sz w:val="24"/>
          <w:szCs w:val="24"/>
        </w:rPr>
        <w:t>Such pricing methodology shall be calculated by reference to the rates and prices in Annex 1</w:t>
      </w:r>
      <w:r w:rsidR="008A28DD">
        <w:rPr>
          <w:rFonts w:ascii="Arial" w:eastAsia="Calibri" w:hAnsi="Arial" w:cs="Arial"/>
          <w:sz w:val="24"/>
          <w:szCs w:val="24"/>
        </w:rPr>
        <w:t>.</w:t>
      </w:r>
      <w:r w:rsidR="00A775A9">
        <w:rPr>
          <w:rFonts w:ascii="Arial" w:eastAsia="Calibri" w:hAnsi="Arial" w:cs="Arial"/>
          <w:sz w:val="24"/>
          <w:szCs w:val="24"/>
        </w:rPr>
        <w:t xml:space="preserve"> </w:t>
      </w:r>
      <w:r w:rsidR="003E0D6F">
        <w:rPr>
          <w:rFonts w:ascii="Arial" w:eastAsia="Calibri" w:hAnsi="Arial" w:cs="Arial"/>
          <w:sz w:val="24"/>
          <w:szCs w:val="24"/>
        </w:rPr>
        <w:t xml:space="preserve"> The Supplier shall provide </w:t>
      </w:r>
      <w:r w:rsidR="00097E55">
        <w:rPr>
          <w:rFonts w:ascii="Arial" w:eastAsia="Calibri" w:hAnsi="Arial" w:cs="Arial"/>
          <w:sz w:val="24"/>
          <w:szCs w:val="24"/>
        </w:rPr>
        <w:t>pricing using the pricing mechanism</w:t>
      </w:r>
      <w:r w:rsidR="003F7F55">
        <w:rPr>
          <w:rFonts w:ascii="Arial" w:eastAsia="Calibri" w:hAnsi="Arial" w:cs="Arial"/>
          <w:sz w:val="24"/>
          <w:szCs w:val="24"/>
        </w:rPr>
        <w:t>(s)</w:t>
      </w:r>
      <w:r w:rsidR="00097E55">
        <w:rPr>
          <w:rFonts w:ascii="Arial" w:eastAsia="Calibri" w:hAnsi="Arial" w:cs="Arial"/>
          <w:sz w:val="24"/>
          <w:szCs w:val="24"/>
        </w:rPr>
        <w:t xml:space="preserve"> required by the Buyer in the relevant Statement of Work</w:t>
      </w:r>
      <w:r w:rsidR="00F93C09">
        <w:rPr>
          <w:rFonts w:ascii="Arial" w:eastAsia="Calibri" w:hAnsi="Arial" w:cs="Arial"/>
          <w:sz w:val="24"/>
          <w:szCs w:val="24"/>
        </w:rPr>
        <w:t>(s)</w:t>
      </w:r>
      <w:r w:rsidR="00097E55">
        <w:rPr>
          <w:rFonts w:ascii="Arial" w:eastAsia="Calibri" w:hAnsi="Arial" w:cs="Arial"/>
          <w:sz w:val="24"/>
          <w:szCs w:val="24"/>
        </w:rPr>
        <w:t>,</w:t>
      </w:r>
      <w:r w:rsidR="008A1357">
        <w:rPr>
          <w:rFonts w:ascii="Arial" w:eastAsia="Calibri" w:hAnsi="Arial" w:cs="Arial"/>
          <w:sz w:val="24"/>
          <w:szCs w:val="24"/>
        </w:rPr>
        <w:t xml:space="preserve"> </w:t>
      </w:r>
      <w:r w:rsidR="00097E55">
        <w:rPr>
          <w:rFonts w:ascii="Arial" w:eastAsia="Calibri" w:hAnsi="Arial" w:cs="Arial"/>
          <w:sz w:val="24"/>
          <w:szCs w:val="24"/>
        </w:rPr>
        <w:t xml:space="preserve">but may also propose alternative </w:t>
      </w:r>
      <w:r w:rsidR="00FA2578">
        <w:rPr>
          <w:rFonts w:ascii="Arial" w:eastAsia="Calibri" w:hAnsi="Arial" w:cs="Arial"/>
          <w:sz w:val="24"/>
          <w:szCs w:val="24"/>
        </w:rPr>
        <w:t>pricing mechanisms.</w:t>
      </w:r>
    </w:p>
    <w:p w14:paraId="188BC705" w14:textId="7777777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Where the Buyer requests a Capped Time and Materials mechanism for a Statement of Work, the Supplier shall separately identify:</w:t>
      </w:r>
    </w:p>
    <w:p w14:paraId="455EB90C" w14:textId="2D12AE12" w:rsidR="002315D5" w:rsidRPr="00371F6E"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lastRenderedPageBreak/>
        <w:t>t</w:t>
      </w:r>
      <w:r w:rsidRPr="00371F6E">
        <w:rPr>
          <w:rFonts w:ascii="Arial" w:eastAsia="Calibri" w:hAnsi="Arial" w:cs="Arial"/>
          <w:sz w:val="24"/>
          <w:szCs w:val="24"/>
        </w:rPr>
        <w:t xml:space="preserve">he Time and Materials profile for the Statement of Work, </w:t>
      </w:r>
      <w:r w:rsidR="0006396A">
        <w:rPr>
          <w:rFonts w:ascii="Arial" w:eastAsia="Calibri" w:hAnsi="Arial" w:cs="Arial"/>
          <w:sz w:val="24"/>
          <w:szCs w:val="24"/>
        </w:rPr>
        <w:t>as per</w:t>
      </w:r>
      <w:r w:rsidRPr="00371F6E">
        <w:rPr>
          <w:rFonts w:ascii="Arial" w:eastAsia="Calibri" w:hAnsi="Arial" w:cs="Arial"/>
          <w:sz w:val="24"/>
          <w:szCs w:val="24"/>
        </w:rPr>
        <w:t xml:space="preserve"> the rate table in Annex 1; and</w:t>
      </w:r>
    </w:p>
    <w:p w14:paraId="5DEDDDF8" w14:textId="4911CDE6" w:rsidR="002315D5" w:rsidRPr="00A11DE5"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Verdana" w:hAnsi="Arial" w:cs="Arial"/>
          <w:b/>
          <w:color w:val="000000"/>
          <w:sz w:val="24"/>
          <w:szCs w:val="24"/>
          <w:lang w:eastAsia="en-GB"/>
        </w:rPr>
      </w:pPr>
      <w:r>
        <w:rPr>
          <w:rFonts w:ascii="Arial" w:eastAsia="Calibri" w:hAnsi="Arial" w:cs="Arial"/>
          <w:sz w:val="24"/>
          <w:szCs w:val="24"/>
        </w:rPr>
        <w:t>t</w:t>
      </w:r>
      <w:r w:rsidRPr="00371F6E">
        <w:rPr>
          <w:rFonts w:ascii="Arial" w:eastAsia="Calibri" w:hAnsi="Arial" w:cs="Arial"/>
          <w:sz w:val="24"/>
          <w:szCs w:val="24"/>
        </w:rPr>
        <w:t xml:space="preserve">he amount of the Cap, alongside clearly identified assumptions, risks, provisions or other breakdowns pertinent to the Cap. The Supplier </w:t>
      </w:r>
      <w:r w:rsidR="00441673">
        <w:rPr>
          <w:rFonts w:ascii="Arial" w:eastAsia="Calibri" w:hAnsi="Arial" w:cs="Arial"/>
          <w:sz w:val="24"/>
          <w:szCs w:val="24"/>
        </w:rPr>
        <w:t>shall</w:t>
      </w:r>
      <w:r w:rsidRPr="00371F6E">
        <w:rPr>
          <w:rFonts w:ascii="Arial" w:eastAsia="Calibri" w:hAnsi="Arial" w:cs="Arial"/>
          <w:sz w:val="24"/>
          <w:szCs w:val="24"/>
        </w:rPr>
        <w:t xml:space="preserve"> provide </w:t>
      </w:r>
      <w:r w:rsidR="00441673">
        <w:rPr>
          <w:rFonts w:ascii="Arial" w:eastAsia="Calibri" w:hAnsi="Arial" w:cs="Arial"/>
          <w:sz w:val="24"/>
          <w:szCs w:val="24"/>
        </w:rPr>
        <w:t xml:space="preserve">an </w:t>
      </w:r>
      <w:r w:rsidRPr="00371F6E">
        <w:rPr>
          <w:rFonts w:ascii="Arial" w:eastAsia="Calibri" w:hAnsi="Arial" w:cs="Arial"/>
          <w:sz w:val="24"/>
          <w:szCs w:val="24"/>
        </w:rPr>
        <w:t>estimate linked to these</w:t>
      </w:r>
      <w:r>
        <w:rPr>
          <w:rFonts w:ascii="Arial" w:eastAsia="Verdana" w:hAnsi="Arial" w:cs="Arial"/>
          <w:bCs/>
          <w:color w:val="000000"/>
          <w:sz w:val="24"/>
          <w:szCs w:val="24"/>
          <w:lang w:eastAsia="en-GB"/>
        </w:rPr>
        <w:t xml:space="preserve"> breakdowns</w:t>
      </w:r>
      <w:r w:rsidR="00441673">
        <w:rPr>
          <w:rFonts w:ascii="Arial" w:eastAsia="Verdana" w:hAnsi="Arial" w:cs="Arial"/>
          <w:bCs/>
          <w:color w:val="000000"/>
          <w:sz w:val="24"/>
          <w:szCs w:val="24"/>
          <w:lang w:eastAsia="en-GB"/>
        </w:rPr>
        <w:t>, where requested by the Buyer.</w:t>
      </w:r>
    </w:p>
    <w:p w14:paraId="0969606B" w14:textId="68ECB395"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 xml:space="preserve">Where the Buyer requests a Fixed Price </w:t>
      </w:r>
      <w:r w:rsidR="0036173A">
        <w:rPr>
          <w:rFonts w:ascii="Arial" w:eastAsia="Calibri" w:hAnsi="Arial" w:cs="Arial"/>
          <w:sz w:val="24"/>
          <w:szCs w:val="24"/>
        </w:rPr>
        <w:t xml:space="preserve">pricing </w:t>
      </w:r>
      <w:r>
        <w:rPr>
          <w:rFonts w:ascii="Arial" w:eastAsia="Calibri" w:hAnsi="Arial" w:cs="Arial"/>
          <w:sz w:val="24"/>
          <w:szCs w:val="24"/>
        </w:rPr>
        <w:t>mechanism for a Statement of Work, the Supplier shall, at the Buyer’s request separately identify:</w:t>
      </w:r>
    </w:p>
    <w:p w14:paraId="2AA49CDF" w14:textId="5619F909" w:rsidR="002315D5" w:rsidRPr="0010375A"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p</w:t>
      </w:r>
      <w:r w:rsidRPr="0010375A">
        <w:rPr>
          <w:rFonts w:ascii="Arial" w:eastAsia="Calibri" w:hAnsi="Arial" w:cs="Arial"/>
          <w:sz w:val="24"/>
          <w:szCs w:val="24"/>
        </w:rPr>
        <w:t>rices against individually requested Milestones</w:t>
      </w:r>
      <w:r w:rsidR="008B2BC4">
        <w:rPr>
          <w:rFonts w:ascii="Arial" w:eastAsia="Calibri" w:hAnsi="Arial" w:cs="Arial"/>
          <w:sz w:val="24"/>
          <w:szCs w:val="24"/>
        </w:rPr>
        <w:t xml:space="preserve"> and Key Milestones</w:t>
      </w:r>
      <w:r w:rsidR="00777F8F">
        <w:rPr>
          <w:rFonts w:ascii="Arial" w:eastAsia="Calibri" w:hAnsi="Arial" w:cs="Arial"/>
          <w:sz w:val="24"/>
          <w:szCs w:val="24"/>
        </w:rPr>
        <w:t>, and the associated Delay Payments</w:t>
      </w:r>
      <w:r w:rsidRPr="0010375A">
        <w:rPr>
          <w:rFonts w:ascii="Arial" w:eastAsia="Calibri" w:hAnsi="Arial" w:cs="Arial"/>
          <w:sz w:val="24"/>
          <w:szCs w:val="24"/>
        </w:rPr>
        <w:t>;</w:t>
      </w:r>
    </w:p>
    <w:p w14:paraId="0822F31A" w14:textId="77777777" w:rsidR="002315D5" w:rsidRPr="0010375A"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t</w:t>
      </w:r>
      <w:r w:rsidRPr="0010375A">
        <w:rPr>
          <w:rFonts w:ascii="Arial" w:eastAsia="Calibri" w:hAnsi="Arial" w:cs="Arial"/>
          <w:sz w:val="24"/>
          <w:szCs w:val="24"/>
        </w:rPr>
        <w:t>he underlying Time and Materials estimate used to calculate the Fixed Price;</w:t>
      </w:r>
      <w:r>
        <w:rPr>
          <w:rFonts w:ascii="Arial" w:eastAsia="Calibri" w:hAnsi="Arial" w:cs="Arial"/>
          <w:sz w:val="24"/>
          <w:szCs w:val="24"/>
        </w:rPr>
        <w:t xml:space="preserve"> and</w:t>
      </w:r>
    </w:p>
    <w:p w14:paraId="3FD4E8FD" w14:textId="77777777" w:rsidR="002315D5" w:rsidRPr="0010375A"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a</w:t>
      </w:r>
      <w:r w:rsidRPr="0010375A">
        <w:rPr>
          <w:rFonts w:ascii="Arial" w:eastAsia="Calibri" w:hAnsi="Arial" w:cs="Arial"/>
          <w:sz w:val="24"/>
          <w:szCs w:val="24"/>
        </w:rPr>
        <w:t xml:space="preserve">ny risk premium. </w:t>
      </w:r>
    </w:p>
    <w:p w14:paraId="65FB02C1" w14:textId="1AA9A560" w:rsidR="002315D5" w:rsidRDefault="002315D5" w:rsidP="006D3A4D">
      <w:pPr>
        <w:pStyle w:val="ListParagraph"/>
        <w:widowControl w:val="0"/>
        <w:numPr>
          <w:ilvl w:val="1"/>
          <w:numId w:val="89"/>
        </w:numPr>
        <w:overflowPunct/>
        <w:autoSpaceDE/>
        <w:autoSpaceDN/>
        <w:adjustRightInd/>
        <w:spacing w:after="200" w:line="276" w:lineRule="auto"/>
        <w:textAlignment w:val="auto"/>
        <w:rPr>
          <w:rFonts w:ascii="Arial" w:eastAsia="Calibri" w:hAnsi="Arial" w:cs="Arial"/>
          <w:sz w:val="24"/>
          <w:szCs w:val="24"/>
        </w:rPr>
      </w:pPr>
      <w:r>
        <w:rPr>
          <w:rFonts w:ascii="Arial" w:eastAsia="Calibri" w:hAnsi="Arial" w:cs="Arial"/>
          <w:sz w:val="24"/>
          <w:szCs w:val="24"/>
        </w:rPr>
        <w:t xml:space="preserve">The Buyer accepts that, having agreed a Fixed Price, once an agreed </w:t>
      </w:r>
      <w:r w:rsidR="00EF6303">
        <w:rPr>
          <w:rFonts w:ascii="Arial" w:eastAsia="Calibri" w:hAnsi="Arial" w:cs="Arial"/>
          <w:sz w:val="24"/>
          <w:szCs w:val="24"/>
        </w:rPr>
        <w:t xml:space="preserve">Key </w:t>
      </w:r>
      <w:r>
        <w:rPr>
          <w:rFonts w:ascii="Arial" w:eastAsia="Calibri" w:hAnsi="Arial" w:cs="Arial"/>
          <w:sz w:val="24"/>
          <w:szCs w:val="24"/>
        </w:rPr>
        <w:t xml:space="preserve">Milestone is </w:t>
      </w:r>
      <w:r w:rsidR="00CD428E">
        <w:rPr>
          <w:rFonts w:ascii="Arial" w:eastAsia="Calibri" w:hAnsi="Arial" w:cs="Arial"/>
          <w:sz w:val="24"/>
          <w:szCs w:val="24"/>
        </w:rPr>
        <w:t xml:space="preserve">successfully </w:t>
      </w:r>
      <w:r w:rsidR="00733FA3">
        <w:rPr>
          <w:rFonts w:ascii="Arial" w:eastAsia="Calibri" w:hAnsi="Arial" w:cs="Arial"/>
          <w:sz w:val="24"/>
          <w:szCs w:val="24"/>
        </w:rPr>
        <w:t xml:space="preserve">Achieved </w:t>
      </w:r>
      <w:r>
        <w:rPr>
          <w:rFonts w:ascii="Arial" w:eastAsia="Calibri" w:hAnsi="Arial" w:cs="Arial"/>
          <w:sz w:val="24"/>
          <w:szCs w:val="24"/>
        </w:rPr>
        <w:t>it shall be charged at the Fixed Price, regardless of the actual cost.</w:t>
      </w:r>
    </w:p>
    <w:p w14:paraId="69A5A5F0" w14:textId="699A2EA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The Supplier accepts that, having agreed to a Fixed Price, it is responsible for delivery of each Milestone in terms of the scope of the component Deliverables, meeting the Buyer’s acceptance criteria and timescales related to any Milestone</w:t>
      </w:r>
      <w:r w:rsidR="004B636A">
        <w:rPr>
          <w:rFonts w:ascii="Arial" w:eastAsia="Calibri" w:hAnsi="Arial" w:cs="Arial"/>
          <w:sz w:val="24"/>
          <w:szCs w:val="24"/>
        </w:rPr>
        <w:t xml:space="preserve"> (if any)</w:t>
      </w:r>
      <w:r>
        <w:rPr>
          <w:rFonts w:ascii="Arial" w:eastAsia="Calibri" w:hAnsi="Arial" w:cs="Arial"/>
          <w:sz w:val="24"/>
          <w:szCs w:val="24"/>
        </w:rPr>
        <w:t>. The Supplier accepts that this shall be at the agreed price, regardless of the actual cost</w:t>
      </w:r>
      <w:r w:rsidR="002463C3">
        <w:rPr>
          <w:rFonts w:ascii="Arial" w:eastAsia="Calibri" w:hAnsi="Arial" w:cs="Arial"/>
          <w:sz w:val="24"/>
          <w:szCs w:val="24"/>
        </w:rPr>
        <w:t xml:space="preserve"> to the Supplier</w:t>
      </w:r>
      <w:r>
        <w:rPr>
          <w:rFonts w:ascii="Arial" w:eastAsia="Calibri" w:hAnsi="Arial" w:cs="Arial"/>
          <w:sz w:val="24"/>
          <w:szCs w:val="24"/>
        </w:rPr>
        <w:t>.</w:t>
      </w:r>
    </w:p>
    <w:p w14:paraId="12DBE3BF" w14:textId="46FCB989" w:rsidR="002315D5" w:rsidRDefault="00083D5D"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 xml:space="preserve">The Supplier shall maintain time recording records where providing services on a Fixed Price basis. </w:t>
      </w:r>
      <w:r w:rsidR="002315D5">
        <w:rPr>
          <w:rFonts w:ascii="Arial" w:eastAsia="Calibri" w:hAnsi="Arial" w:cs="Arial"/>
          <w:sz w:val="24"/>
          <w:szCs w:val="24"/>
        </w:rPr>
        <w:t xml:space="preserve">In relation to any Fixed Price, the Buyer is entitled to request the actual </w:t>
      </w:r>
      <w:r w:rsidR="00147D4C">
        <w:rPr>
          <w:rFonts w:ascii="Arial" w:eastAsia="Calibri" w:hAnsi="Arial" w:cs="Arial"/>
          <w:sz w:val="24"/>
          <w:szCs w:val="24"/>
        </w:rPr>
        <w:t xml:space="preserve">time and material costs </w:t>
      </w:r>
      <w:r w:rsidR="002315D5">
        <w:rPr>
          <w:rFonts w:ascii="Arial" w:eastAsia="Calibri" w:hAnsi="Arial" w:cs="Arial"/>
          <w:sz w:val="24"/>
          <w:szCs w:val="24"/>
        </w:rPr>
        <w:t xml:space="preserve">utilised. This is to facilitate improving the quality of future estimates and future Fixed Price agreements. </w:t>
      </w:r>
    </w:p>
    <w:p w14:paraId="18BCDE05" w14:textId="7777777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Where the Buyer requests an Incremental Fixed Price mechanism for a Statement of Work, the Supplier shall provide:</w:t>
      </w:r>
    </w:p>
    <w:p w14:paraId="209E322C" w14:textId="77777777" w:rsidR="002315D5" w:rsidRPr="00CC387D"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a</w:t>
      </w:r>
      <w:r w:rsidRPr="00CC387D">
        <w:rPr>
          <w:rFonts w:ascii="Arial" w:eastAsia="Calibri" w:hAnsi="Arial" w:cs="Arial"/>
          <w:sz w:val="24"/>
          <w:szCs w:val="24"/>
        </w:rPr>
        <w:t>n overall best estimate for the complete scope of the Statement of Work utilising the Capped Time and Materials model;</w:t>
      </w:r>
      <w:r>
        <w:rPr>
          <w:rFonts w:ascii="Arial" w:eastAsia="Calibri" w:hAnsi="Arial" w:cs="Arial"/>
          <w:sz w:val="24"/>
          <w:szCs w:val="24"/>
        </w:rPr>
        <w:t xml:space="preserve"> and</w:t>
      </w:r>
    </w:p>
    <w:p w14:paraId="6FF778FB" w14:textId="4F48896F" w:rsidR="002315D5" w:rsidRPr="00CC387D" w:rsidRDefault="002315D5" w:rsidP="002315D5">
      <w:pPr>
        <w:pStyle w:val="ListParagraph"/>
        <w:widowControl w:val="0"/>
        <w:numPr>
          <w:ilvl w:val="2"/>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t</w:t>
      </w:r>
      <w:r w:rsidRPr="00CC387D">
        <w:rPr>
          <w:rFonts w:ascii="Arial" w:eastAsia="Calibri" w:hAnsi="Arial" w:cs="Arial"/>
          <w:sz w:val="24"/>
          <w:szCs w:val="24"/>
        </w:rPr>
        <w:t>he Incremental Fixed Price for the first Deliverable Increment</w:t>
      </w:r>
      <w:r>
        <w:rPr>
          <w:rFonts w:ascii="Arial" w:eastAsia="Calibri" w:hAnsi="Arial" w:cs="Arial"/>
          <w:sz w:val="24"/>
          <w:szCs w:val="24"/>
        </w:rPr>
        <w:t>(</w:t>
      </w:r>
      <w:r w:rsidRPr="00CC387D">
        <w:rPr>
          <w:rFonts w:ascii="Arial" w:eastAsia="Calibri" w:hAnsi="Arial" w:cs="Arial"/>
          <w:sz w:val="24"/>
          <w:szCs w:val="24"/>
        </w:rPr>
        <w:t>s</w:t>
      </w:r>
      <w:r>
        <w:rPr>
          <w:rFonts w:ascii="Arial" w:eastAsia="Calibri" w:hAnsi="Arial" w:cs="Arial"/>
          <w:sz w:val="24"/>
          <w:szCs w:val="24"/>
        </w:rPr>
        <w:t xml:space="preserve">), </w:t>
      </w:r>
      <w:r w:rsidRPr="00CC387D">
        <w:rPr>
          <w:rFonts w:ascii="Arial" w:eastAsia="Calibri" w:hAnsi="Arial" w:cs="Arial"/>
          <w:sz w:val="24"/>
          <w:szCs w:val="24"/>
        </w:rPr>
        <w:t>backed up by the underlying Time and Materials basis</w:t>
      </w:r>
      <w:r>
        <w:rPr>
          <w:rFonts w:ascii="Arial" w:eastAsia="Calibri" w:hAnsi="Arial" w:cs="Arial"/>
          <w:sz w:val="24"/>
          <w:szCs w:val="24"/>
        </w:rPr>
        <w:t>.</w:t>
      </w:r>
    </w:p>
    <w:p w14:paraId="03E91B77" w14:textId="77777777"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Verdana" w:hAnsi="Arial" w:cs="Arial"/>
          <w:bCs/>
          <w:color w:val="000000"/>
          <w:sz w:val="24"/>
          <w:szCs w:val="24"/>
          <w:lang w:eastAsia="en-GB"/>
        </w:rPr>
      </w:pPr>
      <w:r w:rsidRPr="00CC387D">
        <w:rPr>
          <w:rFonts w:ascii="Arial" w:eastAsia="Calibri" w:hAnsi="Arial" w:cs="Arial"/>
          <w:sz w:val="24"/>
          <w:szCs w:val="24"/>
        </w:rPr>
        <w:t xml:space="preserve">Thereafter, the Buyer and Supplier shall agree Incremental Fixed Prices, ahead of </w:t>
      </w:r>
      <w:r>
        <w:rPr>
          <w:rFonts w:ascii="Arial" w:eastAsia="Calibri" w:hAnsi="Arial" w:cs="Arial"/>
          <w:sz w:val="24"/>
          <w:szCs w:val="24"/>
        </w:rPr>
        <w:t xml:space="preserve">commencement of </w:t>
      </w:r>
      <w:r w:rsidRPr="00CC387D">
        <w:rPr>
          <w:rFonts w:ascii="Arial" w:eastAsia="Calibri" w:hAnsi="Arial" w:cs="Arial"/>
          <w:sz w:val="24"/>
          <w:szCs w:val="24"/>
        </w:rPr>
        <w:t>the work, for subsequent Deliverable Increments. The Buyer and</w:t>
      </w:r>
      <w:r>
        <w:rPr>
          <w:rFonts w:ascii="Arial" w:eastAsia="Verdana" w:hAnsi="Arial" w:cs="Arial"/>
          <w:bCs/>
          <w:color w:val="000000"/>
          <w:sz w:val="24"/>
          <w:szCs w:val="24"/>
          <w:lang w:eastAsia="en-GB"/>
        </w:rPr>
        <w:t xml:space="preserve"> Supplier shall agree a suitable sizing model for the purposes of </w:t>
      </w:r>
      <w:r>
        <w:rPr>
          <w:rFonts w:ascii="Arial" w:eastAsia="Verdana" w:hAnsi="Arial" w:cs="Arial"/>
          <w:bCs/>
          <w:color w:val="000000"/>
          <w:sz w:val="24"/>
          <w:szCs w:val="24"/>
          <w:lang w:eastAsia="en-GB"/>
        </w:rPr>
        <w:lastRenderedPageBreak/>
        <w:t>arriving at such prices.</w:t>
      </w:r>
    </w:p>
    <w:p w14:paraId="20CF5576" w14:textId="2D24764F" w:rsidR="002315D5"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 xml:space="preserve">The Buyer accepts, if the Deliverable Increment is accepted by the Buyer, it shall be charged the agreed Incremental Fixed Price regardless of actual cost, however there shall be transparency of actual </w:t>
      </w:r>
      <w:r w:rsidR="009A580D">
        <w:rPr>
          <w:rFonts w:ascii="Arial" w:eastAsia="Calibri" w:hAnsi="Arial" w:cs="Arial"/>
          <w:sz w:val="24"/>
          <w:szCs w:val="24"/>
        </w:rPr>
        <w:t>t</w:t>
      </w:r>
      <w:r>
        <w:rPr>
          <w:rFonts w:ascii="Arial" w:eastAsia="Calibri" w:hAnsi="Arial" w:cs="Arial"/>
          <w:sz w:val="24"/>
          <w:szCs w:val="24"/>
        </w:rPr>
        <w:t xml:space="preserve">ime and </w:t>
      </w:r>
      <w:r w:rsidR="009A580D">
        <w:rPr>
          <w:rFonts w:ascii="Arial" w:eastAsia="Calibri" w:hAnsi="Arial" w:cs="Arial"/>
          <w:sz w:val="24"/>
          <w:szCs w:val="24"/>
        </w:rPr>
        <w:t>m</w:t>
      </w:r>
      <w:r>
        <w:rPr>
          <w:rFonts w:ascii="Arial" w:eastAsia="Calibri" w:hAnsi="Arial" w:cs="Arial"/>
          <w:sz w:val="24"/>
          <w:szCs w:val="24"/>
        </w:rPr>
        <w:t>aterials for the purposes of improving future estimates.</w:t>
      </w:r>
    </w:p>
    <w:p w14:paraId="4D0E504E" w14:textId="4F29FB51" w:rsidR="002315D5" w:rsidRPr="006524F9" w:rsidRDefault="002315D5" w:rsidP="002315D5">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Pr>
          <w:rFonts w:ascii="Arial" w:eastAsia="Calibri" w:hAnsi="Arial" w:cs="Arial"/>
          <w:sz w:val="24"/>
          <w:szCs w:val="24"/>
        </w:rPr>
        <w:t>Where an Incremental Fixed Price or Capped Time and Material</w:t>
      </w:r>
      <w:r w:rsidR="009A580D">
        <w:rPr>
          <w:rFonts w:ascii="Arial" w:eastAsia="Calibri" w:hAnsi="Arial" w:cs="Arial"/>
          <w:sz w:val="24"/>
          <w:szCs w:val="24"/>
        </w:rPr>
        <w:t>s</w:t>
      </w:r>
      <w:r>
        <w:rPr>
          <w:rFonts w:ascii="Arial" w:eastAsia="Calibri" w:hAnsi="Arial" w:cs="Arial"/>
          <w:sz w:val="24"/>
          <w:szCs w:val="24"/>
        </w:rPr>
        <w:t xml:space="preserve"> pricing mechanism is used,</w:t>
      </w:r>
      <w:r w:rsidRPr="006524F9">
        <w:rPr>
          <w:rFonts w:ascii="Arial" w:eastAsia="Calibri" w:hAnsi="Arial" w:cs="Arial"/>
          <w:sz w:val="24"/>
          <w:szCs w:val="24"/>
        </w:rPr>
        <w:t xml:space="preserve"> the Supplier’s estimate shall include their offered resource profile, with a clear mechanism to link roles to the rate prices underpinning their offer.</w:t>
      </w:r>
    </w:p>
    <w:p w14:paraId="729B2502" w14:textId="77777777" w:rsidR="00063A80" w:rsidRPr="00E0631F" w:rsidRDefault="00063A80" w:rsidP="00063A80">
      <w:pPr>
        <w:pStyle w:val="ListParagraph"/>
        <w:widowControl w:val="0"/>
        <w:numPr>
          <w:ilvl w:val="0"/>
          <w:numId w:val="89"/>
        </w:numPr>
        <w:overflowPunct/>
        <w:autoSpaceDE/>
        <w:autoSpaceDN/>
        <w:adjustRightInd/>
        <w:spacing w:before="120" w:after="120" w:line="276" w:lineRule="auto"/>
        <w:ind w:left="431" w:hanging="431"/>
        <w:jc w:val="left"/>
        <w:textAlignment w:val="auto"/>
        <w:rPr>
          <w:rFonts w:ascii="Arial" w:eastAsia="Calibri" w:hAnsi="Arial" w:cs="Arial"/>
          <w:b/>
          <w:bCs/>
          <w:sz w:val="24"/>
          <w:szCs w:val="24"/>
        </w:rPr>
      </w:pPr>
      <w:r>
        <w:rPr>
          <w:rFonts w:ascii="Arial" w:eastAsia="Calibri" w:hAnsi="Arial" w:cs="Arial"/>
          <w:b/>
          <w:bCs/>
          <w:sz w:val="24"/>
          <w:szCs w:val="24"/>
        </w:rPr>
        <w:t>Volume Discounts</w:t>
      </w:r>
    </w:p>
    <w:p w14:paraId="44E7A20E" w14:textId="77777777" w:rsidR="00063A80" w:rsidRDefault="00063A80" w:rsidP="00063A80">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 xml:space="preserve">The Buyer may request, and the Supplier may offer, volume discounts as part of a Further Competition Procedure. </w:t>
      </w:r>
    </w:p>
    <w:p w14:paraId="0540D552" w14:textId="77777777" w:rsidR="00063A80" w:rsidRDefault="00063A80" w:rsidP="00063A80">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Volume discounts shall apply to the spend associated with this Call-Off Contract and all agreed Statements of Work.</w:t>
      </w:r>
    </w:p>
    <w:p w14:paraId="23446349" w14:textId="77777777" w:rsidR="00063A80" w:rsidRDefault="00063A80" w:rsidP="00063A80">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Where volume discounts form part of the evaluation of a Further Competition Procedure, the Buyer shall state the basis on which these volume discounts will be calculated. Unless otherwise stated by the Buyer, v</w:t>
      </w:r>
      <w:r w:rsidRPr="00CC36EB">
        <w:rPr>
          <w:rFonts w:ascii="Arial" w:hAnsi="Arial" w:cs="Arial"/>
          <w:color w:val="000000"/>
          <w:sz w:val="24"/>
          <w:szCs w:val="24"/>
        </w:rPr>
        <w:t xml:space="preserve">olume discounts shall apply to </w:t>
      </w:r>
      <w:r>
        <w:rPr>
          <w:rFonts w:ascii="Arial" w:hAnsi="Arial" w:cs="Arial"/>
          <w:color w:val="000000"/>
          <w:sz w:val="24"/>
          <w:szCs w:val="24"/>
        </w:rPr>
        <w:t>all categories of spend.</w:t>
      </w:r>
    </w:p>
    <w:p w14:paraId="7DC94AF8" w14:textId="77777777" w:rsidR="00452375" w:rsidRPr="00E0631F" w:rsidRDefault="00452375" w:rsidP="00452375">
      <w:pPr>
        <w:pStyle w:val="ListParagraph"/>
        <w:widowControl w:val="0"/>
        <w:numPr>
          <w:ilvl w:val="0"/>
          <w:numId w:val="89"/>
        </w:numPr>
        <w:overflowPunct/>
        <w:autoSpaceDE/>
        <w:autoSpaceDN/>
        <w:adjustRightInd/>
        <w:spacing w:before="120" w:after="120" w:line="276" w:lineRule="auto"/>
        <w:ind w:left="431" w:hanging="431"/>
        <w:jc w:val="left"/>
        <w:textAlignment w:val="auto"/>
        <w:rPr>
          <w:rFonts w:ascii="Arial" w:eastAsia="Calibri" w:hAnsi="Arial" w:cs="Arial"/>
          <w:b/>
          <w:bCs/>
          <w:sz w:val="24"/>
          <w:szCs w:val="24"/>
        </w:rPr>
      </w:pPr>
      <w:r>
        <w:rPr>
          <w:rFonts w:ascii="Arial" w:eastAsia="Calibri" w:hAnsi="Arial" w:cs="Arial"/>
          <w:b/>
          <w:bCs/>
          <w:sz w:val="24"/>
          <w:szCs w:val="24"/>
        </w:rPr>
        <w:t>Adjustments to Call Off Contract Rates</w:t>
      </w:r>
    </w:p>
    <w:p w14:paraId="2E4E1A89" w14:textId="77777777" w:rsidR="00452375" w:rsidRDefault="00452375" w:rsidP="00452375">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Rates submitted by the Supplier shall remain fixed for the first year of any Call-Off Contract or as long as maximum rates at Framework Contract level remain unchanged (whichever is the later date).</w:t>
      </w:r>
    </w:p>
    <w:p w14:paraId="055CB8CA" w14:textId="77777777" w:rsidR="00452375" w:rsidRDefault="00452375" w:rsidP="00452375">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Thereafter, on an annual basis, provided it has been demonstrated via the Framework Contract pricing adjustment mechanism set out in Framework Schedule 3 that rates need to change to reflect market conditions, then the Supplier shall be entitled to request a corresponding percentage change at Call-Off Contract level. The Buyer shall take into account continuous improvement during the course of the Call-Off Contract but shall not otherwise unreasonably withhold agreement to such a request.</w:t>
      </w:r>
    </w:p>
    <w:p w14:paraId="5129C7A4" w14:textId="77777777" w:rsidR="00452375" w:rsidRDefault="00452375" w:rsidP="00452375">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Pr>
          <w:rFonts w:ascii="Arial" w:hAnsi="Arial" w:cs="Arial"/>
          <w:color w:val="000000"/>
          <w:sz w:val="24"/>
          <w:szCs w:val="24"/>
        </w:rPr>
        <w:t>Any such agreed changes to Call-Off Contract rates shall take effect on the anniversary of the Call-Off Contract Start Date.</w:t>
      </w:r>
    </w:p>
    <w:p w14:paraId="4ADCC980" w14:textId="77777777" w:rsidR="00452375" w:rsidRPr="00B257E4" w:rsidRDefault="00452375" w:rsidP="00452375">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hAnsi="Arial" w:cs="Arial"/>
          <w:color w:val="000000"/>
          <w:sz w:val="24"/>
          <w:szCs w:val="24"/>
        </w:rPr>
      </w:pPr>
      <w:r w:rsidRPr="00B257E4">
        <w:rPr>
          <w:rFonts w:ascii="Arial" w:hAnsi="Arial" w:cs="Arial"/>
          <w:color w:val="000000"/>
          <w:sz w:val="24"/>
          <w:szCs w:val="24"/>
        </w:rPr>
        <w:t>The Buyer may request additional roles to those listed in Annex 1 as part of a Call</w:t>
      </w:r>
      <w:r>
        <w:rPr>
          <w:rFonts w:ascii="Arial" w:hAnsi="Arial" w:cs="Arial"/>
          <w:color w:val="000000"/>
          <w:sz w:val="24"/>
          <w:szCs w:val="24"/>
        </w:rPr>
        <w:t>-</w:t>
      </w:r>
      <w:r w:rsidRPr="00B257E4">
        <w:rPr>
          <w:rFonts w:ascii="Arial" w:hAnsi="Arial" w:cs="Arial"/>
          <w:color w:val="000000"/>
          <w:sz w:val="24"/>
          <w:szCs w:val="24"/>
        </w:rPr>
        <w:t>Off Contract, in which case, the Supplier shall provide competitive rates for the role.</w:t>
      </w:r>
    </w:p>
    <w:p w14:paraId="27D7D7BA" w14:textId="72BD0AAE" w:rsidR="00F93846" w:rsidRPr="00E8102F" w:rsidRDefault="00523AE5" w:rsidP="00FE2195">
      <w:pPr>
        <w:pStyle w:val="ListParagraph"/>
        <w:widowControl w:val="0"/>
        <w:numPr>
          <w:ilvl w:val="0"/>
          <w:numId w:val="89"/>
        </w:numPr>
        <w:overflowPunct/>
        <w:autoSpaceDE/>
        <w:autoSpaceDN/>
        <w:adjustRightInd/>
        <w:spacing w:before="120" w:after="120" w:line="276" w:lineRule="auto"/>
        <w:ind w:left="567" w:hanging="567"/>
        <w:jc w:val="left"/>
        <w:textAlignment w:val="auto"/>
        <w:rPr>
          <w:rFonts w:ascii="Arial" w:eastAsia="Calibri" w:hAnsi="Arial" w:cs="Arial"/>
          <w:b/>
          <w:bCs/>
          <w:sz w:val="24"/>
          <w:szCs w:val="24"/>
        </w:rPr>
      </w:pPr>
      <w:r>
        <w:rPr>
          <w:rFonts w:ascii="Arial" w:eastAsia="Calibri" w:hAnsi="Arial" w:cs="Arial"/>
          <w:b/>
          <w:bCs/>
          <w:sz w:val="24"/>
          <w:szCs w:val="24"/>
        </w:rPr>
        <w:t xml:space="preserve">Amendments to Annex 1: </w:t>
      </w:r>
      <w:r w:rsidR="00BC6A39">
        <w:rPr>
          <w:rFonts w:ascii="Arial" w:eastAsia="Calibri" w:hAnsi="Arial" w:cs="Arial"/>
          <w:b/>
          <w:bCs/>
          <w:sz w:val="24"/>
          <w:szCs w:val="24"/>
        </w:rPr>
        <w:t>Exceptional Adjustments for Specific Technologies</w:t>
      </w:r>
    </w:p>
    <w:p w14:paraId="6BAB5B3B" w14:textId="4D060F4A" w:rsidR="00F93846" w:rsidRDefault="00B444EB"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54209B2D">
        <w:rPr>
          <w:rFonts w:ascii="Arial" w:eastAsia="Calibri" w:hAnsi="Arial" w:cs="Arial"/>
          <w:sz w:val="24"/>
          <w:szCs w:val="24"/>
        </w:rPr>
        <w:lastRenderedPageBreak/>
        <w:t>The Buyer acknowledges that, from time to time, specific</w:t>
      </w:r>
      <w:r w:rsidR="00339198" w:rsidRPr="54209B2D">
        <w:rPr>
          <w:rFonts w:ascii="Arial" w:eastAsia="Calibri" w:hAnsi="Arial" w:cs="Arial"/>
          <w:sz w:val="24"/>
          <w:szCs w:val="24"/>
        </w:rPr>
        <w:t xml:space="preserve"> skills sets associated with certain</w:t>
      </w:r>
      <w:r w:rsidRPr="54209B2D">
        <w:rPr>
          <w:rFonts w:ascii="Arial" w:eastAsia="Calibri" w:hAnsi="Arial" w:cs="Arial"/>
          <w:sz w:val="24"/>
          <w:szCs w:val="24"/>
        </w:rPr>
        <w:t xml:space="preserve"> </w:t>
      </w:r>
      <w:r w:rsidR="005948F9" w:rsidRPr="54209B2D">
        <w:rPr>
          <w:rFonts w:ascii="Arial" w:eastAsia="Calibri" w:hAnsi="Arial" w:cs="Arial"/>
          <w:sz w:val="24"/>
          <w:szCs w:val="24"/>
        </w:rPr>
        <w:t xml:space="preserve">technologies may command a rate premium </w:t>
      </w:r>
      <w:r w:rsidR="2C9A6A9D" w:rsidRPr="54209B2D">
        <w:rPr>
          <w:rFonts w:ascii="Arial" w:eastAsia="Calibri" w:hAnsi="Arial" w:cs="Arial"/>
          <w:sz w:val="24"/>
          <w:szCs w:val="24"/>
        </w:rPr>
        <w:t xml:space="preserve">in the market </w:t>
      </w:r>
      <w:r w:rsidR="005948F9" w:rsidRPr="54209B2D">
        <w:rPr>
          <w:rFonts w:ascii="Arial" w:eastAsia="Calibri" w:hAnsi="Arial" w:cs="Arial"/>
          <w:sz w:val="24"/>
          <w:szCs w:val="24"/>
        </w:rPr>
        <w:t xml:space="preserve">(when </w:t>
      </w:r>
      <w:r w:rsidR="00EF6891" w:rsidRPr="54209B2D">
        <w:rPr>
          <w:rFonts w:ascii="Arial" w:eastAsia="Calibri" w:hAnsi="Arial" w:cs="Arial"/>
          <w:sz w:val="24"/>
          <w:szCs w:val="24"/>
        </w:rPr>
        <w:t>demand is high and supply low)</w:t>
      </w:r>
      <w:r w:rsidR="00B05F93">
        <w:rPr>
          <w:rFonts w:ascii="Arial" w:eastAsia="Calibri" w:hAnsi="Arial" w:cs="Arial"/>
          <w:sz w:val="24"/>
          <w:szCs w:val="24"/>
        </w:rPr>
        <w:t>,</w:t>
      </w:r>
      <w:r w:rsidR="00EF6891" w:rsidRPr="54209B2D">
        <w:rPr>
          <w:rFonts w:ascii="Arial" w:eastAsia="Calibri" w:hAnsi="Arial" w:cs="Arial"/>
          <w:sz w:val="24"/>
          <w:szCs w:val="24"/>
        </w:rPr>
        <w:t xml:space="preserve"> or a rate reduction (when demand is low and supply high)</w:t>
      </w:r>
      <w:r w:rsidR="00F93846" w:rsidRPr="54209B2D">
        <w:rPr>
          <w:rFonts w:ascii="Arial" w:eastAsia="Calibri" w:hAnsi="Arial" w:cs="Arial"/>
          <w:sz w:val="24"/>
          <w:szCs w:val="24"/>
        </w:rPr>
        <w:t>.</w:t>
      </w:r>
    </w:p>
    <w:p w14:paraId="46AB9296" w14:textId="2883DE0E" w:rsidR="008C4435" w:rsidRDefault="00EF6891"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54209B2D">
        <w:rPr>
          <w:rFonts w:ascii="Arial" w:eastAsia="Calibri" w:hAnsi="Arial" w:cs="Arial"/>
          <w:sz w:val="24"/>
          <w:szCs w:val="24"/>
        </w:rPr>
        <w:t>Under exceptional circumstances the Supplier may offer percentage adjustments</w:t>
      </w:r>
      <w:r w:rsidR="00194310" w:rsidRPr="54209B2D">
        <w:rPr>
          <w:rFonts w:ascii="Arial" w:eastAsia="Calibri" w:hAnsi="Arial" w:cs="Arial"/>
          <w:sz w:val="24"/>
          <w:szCs w:val="24"/>
        </w:rPr>
        <w:t>, specific to</w:t>
      </w:r>
      <w:r w:rsidR="6F1648ED" w:rsidRPr="54209B2D">
        <w:rPr>
          <w:rFonts w:ascii="Arial" w:eastAsia="Calibri" w:hAnsi="Arial" w:cs="Arial"/>
          <w:sz w:val="24"/>
          <w:szCs w:val="24"/>
        </w:rPr>
        <w:t xml:space="preserve"> skills related to</w:t>
      </w:r>
      <w:r w:rsidR="00194310" w:rsidRPr="54209B2D">
        <w:rPr>
          <w:rFonts w:ascii="Arial" w:eastAsia="Calibri" w:hAnsi="Arial" w:cs="Arial"/>
          <w:sz w:val="24"/>
          <w:szCs w:val="24"/>
        </w:rPr>
        <w:t xml:space="preserve"> one or </w:t>
      </w:r>
      <w:r w:rsidR="08D021D6" w:rsidRPr="5EF0F4BC">
        <w:rPr>
          <w:rFonts w:ascii="Arial" w:eastAsia="Calibri" w:hAnsi="Arial" w:cs="Arial"/>
          <w:sz w:val="24"/>
          <w:szCs w:val="24"/>
        </w:rPr>
        <w:t xml:space="preserve">more </w:t>
      </w:r>
      <w:r w:rsidR="00194310" w:rsidRPr="54209B2D">
        <w:rPr>
          <w:rFonts w:ascii="Arial" w:eastAsia="Calibri" w:hAnsi="Arial" w:cs="Arial"/>
          <w:sz w:val="24"/>
          <w:szCs w:val="24"/>
        </w:rPr>
        <w:t xml:space="preserve">named technologies, linked to specific </w:t>
      </w:r>
      <w:r w:rsidR="006E7353" w:rsidRPr="54209B2D">
        <w:rPr>
          <w:rFonts w:ascii="Arial" w:eastAsia="Calibri" w:hAnsi="Arial" w:cs="Arial"/>
          <w:sz w:val="24"/>
          <w:szCs w:val="24"/>
        </w:rPr>
        <w:t xml:space="preserve">roles. </w:t>
      </w:r>
      <w:r w:rsidR="0019793E">
        <w:rPr>
          <w:rFonts w:ascii="Arial" w:eastAsia="Calibri" w:hAnsi="Arial" w:cs="Arial"/>
          <w:sz w:val="24"/>
          <w:szCs w:val="24"/>
        </w:rPr>
        <w:t xml:space="preserve">Any such </w:t>
      </w:r>
      <w:r w:rsidR="009459B7">
        <w:rPr>
          <w:rFonts w:ascii="Arial" w:eastAsia="Calibri" w:hAnsi="Arial" w:cs="Arial"/>
          <w:sz w:val="24"/>
          <w:szCs w:val="24"/>
        </w:rPr>
        <w:t xml:space="preserve">adjustments </w:t>
      </w:r>
      <w:r w:rsidR="0019793E">
        <w:rPr>
          <w:rFonts w:ascii="Arial" w:eastAsia="Calibri" w:hAnsi="Arial" w:cs="Arial"/>
          <w:sz w:val="24"/>
          <w:szCs w:val="24"/>
        </w:rPr>
        <w:t xml:space="preserve">to </w:t>
      </w:r>
      <w:r w:rsidR="009459B7">
        <w:rPr>
          <w:rFonts w:ascii="Arial" w:eastAsia="Calibri" w:hAnsi="Arial" w:cs="Arial"/>
          <w:sz w:val="24"/>
          <w:szCs w:val="24"/>
        </w:rPr>
        <w:t xml:space="preserve">the rates in </w:t>
      </w:r>
      <w:r w:rsidR="0019793E">
        <w:rPr>
          <w:rFonts w:ascii="Arial" w:eastAsia="Calibri" w:hAnsi="Arial" w:cs="Arial"/>
          <w:sz w:val="24"/>
          <w:szCs w:val="24"/>
        </w:rPr>
        <w:t>Annex 1</w:t>
      </w:r>
      <w:r w:rsidR="009459B7">
        <w:rPr>
          <w:rFonts w:ascii="Arial" w:eastAsia="Calibri" w:hAnsi="Arial" w:cs="Arial"/>
          <w:sz w:val="24"/>
          <w:szCs w:val="24"/>
        </w:rPr>
        <w:t xml:space="preserve"> must be agreed by the Parties in writing.</w:t>
      </w:r>
    </w:p>
    <w:p w14:paraId="070B45B8" w14:textId="42D6E41C" w:rsidR="00EF6891" w:rsidRDefault="007101CA"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54209B2D">
        <w:rPr>
          <w:rFonts w:ascii="Arial" w:eastAsia="Calibri" w:hAnsi="Arial" w:cs="Arial"/>
          <w:sz w:val="24"/>
          <w:szCs w:val="24"/>
        </w:rPr>
        <w:t xml:space="preserve">A table similar to </w:t>
      </w:r>
      <w:r w:rsidR="006E7353" w:rsidRPr="54209B2D">
        <w:rPr>
          <w:rFonts w:ascii="Arial" w:eastAsia="Calibri" w:hAnsi="Arial" w:cs="Arial"/>
          <w:sz w:val="24"/>
          <w:szCs w:val="24"/>
        </w:rPr>
        <w:t xml:space="preserve">Annex 2 </w:t>
      </w:r>
      <w:r w:rsidRPr="54209B2D">
        <w:rPr>
          <w:rFonts w:ascii="Arial" w:eastAsia="Calibri" w:hAnsi="Arial" w:cs="Arial"/>
          <w:sz w:val="24"/>
          <w:szCs w:val="24"/>
        </w:rPr>
        <w:t xml:space="preserve">(Exceptional Technology Adjustments) </w:t>
      </w:r>
      <w:r w:rsidR="006E7353" w:rsidRPr="54209B2D">
        <w:rPr>
          <w:rFonts w:ascii="Arial" w:eastAsia="Calibri" w:hAnsi="Arial" w:cs="Arial"/>
          <w:sz w:val="24"/>
          <w:szCs w:val="24"/>
        </w:rPr>
        <w:t xml:space="preserve">shall be used to document </w:t>
      </w:r>
      <w:r w:rsidR="007D696E">
        <w:rPr>
          <w:rFonts w:ascii="Arial" w:eastAsia="Calibri" w:hAnsi="Arial" w:cs="Arial"/>
          <w:sz w:val="24"/>
          <w:szCs w:val="24"/>
        </w:rPr>
        <w:t xml:space="preserve">any such </w:t>
      </w:r>
      <w:r w:rsidR="006E7353" w:rsidRPr="54209B2D">
        <w:rPr>
          <w:rFonts w:ascii="Arial" w:eastAsia="Calibri" w:hAnsi="Arial" w:cs="Arial"/>
          <w:sz w:val="24"/>
          <w:szCs w:val="24"/>
        </w:rPr>
        <w:t>agreed adjustments</w:t>
      </w:r>
      <w:r w:rsidR="00922551" w:rsidRPr="54209B2D">
        <w:rPr>
          <w:rFonts w:ascii="Arial" w:eastAsia="Calibri" w:hAnsi="Arial" w:cs="Arial"/>
          <w:sz w:val="24"/>
          <w:szCs w:val="24"/>
        </w:rPr>
        <w:t>.</w:t>
      </w:r>
      <w:r w:rsidR="008C4435">
        <w:rPr>
          <w:rFonts w:ascii="Arial" w:eastAsia="Calibri" w:hAnsi="Arial" w:cs="Arial"/>
          <w:sz w:val="24"/>
          <w:szCs w:val="24"/>
        </w:rPr>
        <w:t xml:space="preserve"> </w:t>
      </w:r>
      <w:r w:rsidR="006402B9">
        <w:rPr>
          <w:rFonts w:ascii="Arial" w:eastAsia="Calibri" w:hAnsi="Arial" w:cs="Arial"/>
          <w:sz w:val="24"/>
          <w:szCs w:val="24"/>
        </w:rPr>
        <w:t xml:space="preserve">Such table shall be included in the Order Form or the Statement of Work. </w:t>
      </w:r>
    </w:p>
    <w:p w14:paraId="3153E4D3" w14:textId="5A5E4D18" w:rsidR="005F7239" w:rsidRDefault="002E7A42"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54209B2D">
        <w:rPr>
          <w:rFonts w:ascii="Arial" w:eastAsia="Calibri" w:hAnsi="Arial" w:cs="Arial"/>
          <w:sz w:val="24"/>
          <w:szCs w:val="24"/>
        </w:rPr>
        <w:t xml:space="preserve">In the case of </w:t>
      </w:r>
      <w:r w:rsidR="00145343">
        <w:rPr>
          <w:rFonts w:ascii="Arial" w:eastAsia="Calibri" w:hAnsi="Arial" w:cs="Arial"/>
          <w:sz w:val="24"/>
          <w:szCs w:val="24"/>
        </w:rPr>
        <w:t xml:space="preserve">an upwards adjustment (an </w:t>
      </w:r>
      <w:r w:rsidRPr="54209B2D">
        <w:rPr>
          <w:rFonts w:ascii="Arial" w:eastAsia="Calibri" w:hAnsi="Arial" w:cs="Arial"/>
          <w:sz w:val="24"/>
          <w:szCs w:val="24"/>
        </w:rPr>
        <w:t>uplift</w:t>
      </w:r>
      <w:r w:rsidR="00145343">
        <w:rPr>
          <w:rFonts w:ascii="Arial" w:eastAsia="Calibri" w:hAnsi="Arial" w:cs="Arial"/>
          <w:sz w:val="24"/>
          <w:szCs w:val="24"/>
        </w:rPr>
        <w:t>)</w:t>
      </w:r>
      <w:r w:rsidRPr="54209B2D">
        <w:rPr>
          <w:rFonts w:ascii="Arial" w:eastAsia="Calibri" w:hAnsi="Arial" w:cs="Arial"/>
          <w:sz w:val="24"/>
          <w:szCs w:val="24"/>
        </w:rPr>
        <w:t>, t</w:t>
      </w:r>
      <w:r w:rsidR="005F7239" w:rsidRPr="54209B2D">
        <w:rPr>
          <w:rFonts w:ascii="Arial" w:eastAsia="Calibri" w:hAnsi="Arial" w:cs="Arial"/>
          <w:sz w:val="24"/>
          <w:szCs w:val="24"/>
        </w:rPr>
        <w:t xml:space="preserve">he Supplier is required to evidence </w:t>
      </w:r>
      <w:r w:rsidRPr="54209B2D">
        <w:rPr>
          <w:rFonts w:ascii="Arial" w:eastAsia="Calibri" w:hAnsi="Arial" w:cs="Arial"/>
          <w:sz w:val="24"/>
          <w:szCs w:val="24"/>
        </w:rPr>
        <w:t>why such an uplift is required</w:t>
      </w:r>
      <w:r w:rsidR="65544630" w:rsidRPr="54209B2D">
        <w:rPr>
          <w:rFonts w:ascii="Arial" w:eastAsia="Calibri" w:hAnsi="Arial" w:cs="Arial"/>
          <w:sz w:val="24"/>
          <w:szCs w:val="24"/>
        </w:rPr>
        <w:t>,</w:t>
      </w:r>
      <w:r w:rsidRPr="54209B2D">
        <w:rPr>
          <w:rFonts w:ascii="Arial" w:eastAsia="Calibri" w:hAnsi="Arial" w:cs="Arial"/>
          <w:sz w:val="24"/>
          <w:szCs w:val="24"/>
        </w:rPr>
        <w:t xml:space="preserve"> and the Buyer </w:t>
      </w:r>
      <w:r w:rsidR="00922551" w:rsidRPr="54209B2D">
        <w:rPr>
          <w:rFonts w:ascii="Arial" w:eastAsia="Calibri" w:hAnsi="Arial" w:cs="Arial"/>
          <w:sz w:val="24"/>
          <w:szCs w:val="24"/>
        </w:rPr>
        <w:t>shall</w:t>
      </w:r>
      <w:r w:rsidRPr="54209B2D">
        <w:rPr>
          <w:rFonts w:ascii="Arial" w:eastAsia="Calibri" w:hAnsi="Arial" w:cs="Arial"/>
          <w:sz w:val="24"/>
          <w:szCs w:val="24"/>
        </w:rPr>
        <w:t xml:space="preserve"> </w:t>
      </w:r>
      <w:r w:rsidR="008048A2" w:rsidRPr="54209B2D">
        <w:rPr>
          <w:rFonts w:ascii="Arial" w:eastAsia="Calibri" w:hAnsi="Arial" w:cs="Arial"/>
          <w:sz w:val="24"/>
          <w:szCs w:val="24"/>
        </w:rPr>
        <w:t xml:space="preserve">take such evidence into consideration when </w:t>
      </w:r>
      <w:r w:rsidR="11EB40C4" w:rsidRPr="54209B2D">
        <w:rPr>
          <w:rFonts w:ascii="Arial" w:eastAsia="Calibri" w:hAnsi="Arial" w:cs="Arial"/>
          <w:sz w:val="24"/>
          <w:szCs w:val="24"/>
        </w:rPr>
        <w:t>considering</w:t>
      </w:r>
      <w:r w:rsidR="008048A2" w:rsidRPr="54209B2D">
        <w:rPr>
          <w:rFonts w:ascii="Arial" w:eastAsia="Calibri" w:hAnsi="Arial" w:cs="Arial"/>
          <w:sz w:val="24"/>
          <w:szCs w:val="24"/>
        </w:rPr>
        <w:t xml:space="preserve"> such </w:t>
      </w:r>
      <w:r w:rsidR="007101CA" w:rsidRPr="54209B2D">
        <w:rPr>
          <w:rFonts w:ascii="Arial" w:eastAsia="Calibri" w:hAnsi="Arial" w:cs="Arial"/>
          <w:sz w:val="24"/>
          <w:szCs w:val="24"/>
        </w:rPr>
        <w:t>a request.</w:t>
      </w:r>
      <w:r w:rsidR="007D696E">
        <w:rPr>
          <w:rFonts w:ascii="Arial" w:eastAsia="Calibri" w:hAnsi="Arial" w:cs="Arial"/>
          <w:sz w:val="24"/>
          <w:szCs w:val="24"/>
        </w:rPr>
        <w:t xml:space="preserve"> Any such uplift must be agreed by the </w:t>
      </w:r>
      <w:r w:rsidR="002C3A7F">
        <w:rPr>
          <w:rFonts w:ascii="Arial" w:eastAsia="Calibri" w:hAnsi="Arial" w:cs="Arial"/>
          <w:sz w:val="24"/>
          <w:szCs w:val="24"/>
        </w:rPr>
        <w:t>P</w:t>
      </w:r>
      <w:r w:rsidR="007D696E">
        <w:rPr>
          <w:rFonts w:ascii="Arial" w:eastAsia="Calibri" w:hAnsi="Arial" w:cs="Arial"/>
          <w:sz w:val="24"/>
          <w:szCs w:val="24"/>
        </w:rPr>
        <w:t>arties in advance in writing.</w:t>
      </w:r>
    </w:p>
    <w:p w14:paraId="3E7D5CED" w14:textId="4BFBB4E8" w:rsidR="00922551" w:rsidRDefault="00922551" w:rsidP="0038487E">
      <w:pPr>
        <w:pStyle w:val="ListParagraph"/>
        <w:widowControl w:val="0"/>
        <w:numPr>
          <w:ilvl w:val="1"/>
          <w:numId w:val="89"/>
        </w:numPr>
        <w:overflowPunct/>
        <w:autoSpaceDE/>
        <w:autoSpaceDN/>
        <w:adjustRightInd/>
        <w:spacing w:after="200" w:line="276" w:lineRule="auto"/>
        <w:jc w:val="left"/>
        <w:textAlignment w:val="auto"/>
        <w:rPr>
          <w:rFonts w:ascii="Arial" w:eastAsia="Calibri" w:hAnsi="Arial" w:cs="Arial"/>
          <w:sz w:val="24"/>
          <w:szCs w:val="24"/>
        </w:rPr>
      </w:pPr>
      <w:r w:rsidRPr="54209B2D">
        <w:rPr>
          <w:rFonts w:ascii="Arial" w:eastAsia="Calibri" w:hAnsi="Arial" w:cs="Arial"/>
          <w:sz w:val="24"/>
          <w:szCs w:val="24"/>
        </w:rPr>
        <w:t xml:space="preserve">The Supplier shall clearly </w:t>
      </w:r>
      <w:r w:rsidR="23890FCA" w:rsidRPr="54209B2D">
        <w:rPr>
          <w:rFonts w:ascii="Arial" w:eastAsia="Calibri" w:hAnsi="Arial" w:cs="Arial"/>
          <w:sz w:val="24"/>
          <w:szCs w:val="24"/>
        </w:rPr>
        <w:t xml:space="preserve">separately </w:t>
      </w:r>
      <w:r w:rsidRPr="54209B2D">
        <w:rPr>
          <w:rFonts w:ascii="Arial" w:eastAsia="Calibri" w:hAnsi="Arial" w:cs="Arial"/>
          <w:sz w:val="24"/>
          <w:szCs w:val="24"/>
        </w:rPr>
        <w:t xml:space="preserve">reference </w:t>
      </w:r>
      <w:r w:rsidR="00145343">
        <w:rPr>
          <w:rFonts w:ascii="Arial" w:eastAsia="Calibri" w:hAnsi="Arial" w:cs="Arial"/>
          <w:sz w:val="24"/>
          <w:szCs w:val="24"/>
        </w:rPr>
        <w:t xml:space="preserve">any </w:t>
      </w:r>
      <w:r w:rsidRPr="54209B2D">
        <w:rPr>
          <w:rFonts w:ascii="Arial" w:eastAsia="Calibri" w:hAnsi="Arial" w:cs="Arial"/>
          <w:sz w:val="24"/>
          <w:szCs w:val="24"/>
        </w:rPr>
        <w:t>such adjustments in any documentation relating to the Charges, such as invoices.</w:t>
      </w:r>
    </w:p>
    <w:p w14:paraId="13D5773F" w14:textId="1CC885CB" w:rsidR="00C65977" w:rsidRPr="00E8102F" w:rsidRDefault="006F70B8">
      <w:pPr>
        <w:pStyle w:val="ListParagraph"/>
        <w:widowControl w:val="0"/>
        <w:numPr>
          <w:ilvl w:val="0"/>
          <w:numId w:val="89"/>
        </w:numPr>
        <w:overflowPunct/>
        <w:autoSpaceDE/>
        <w:autoSpaceDN/>
        <w:adjustRightInd/>
        <w:spacing w:before="120" w:after="120" w:line="276" w:lineRule="auto"/>
        <w:ind w:left="431" w:hanging="431"/>
        <w:jc w:val="left"/>
        <w:textAlignment w:val="auto"/>
        <w:rPr>
          <w:rFonts w:ascii="Arial" w:eastAsia="Calibri" w:hAnsi="Arial" w:cs="Arial"/>
          <w:b/>
          <w:bCs/>
          <w:sz w:val="24"/>
          <w:szCs w:val="24"/>
        </w:rPr>
      </w:pPr>
      <w:bookmarkStart w:id="1" w:name="_Ref179897647"/>
      <w:r>
        <w:rPr>
          <w:rFonts w:ascii="Arial" w:eastAsia="Calibri" w:hAnsi="Arial" w:cs="Arial"/>
          <w:b/>
          <w:bCs/>
          <w:sz w:val="24"/>
          <w:szCs w:val="24"/>
        </w:rPr>
        <w:t>Not Used</w:t>
      </w:r>
    </w:p>
    <w:p w14:paraId="19EE877B" w14:textId="0C94F11F" w:rsidR="00871BEF" w:rsidRPr="00A11DE5" w:rsidRDefault="00871BEF" w:rsidP="00960A1F">
      <w:pPr>
        <w:pStyle w:val="ListParagraph"/>
        <w:widowControl w:val="0"/>
        <w:numPr>
          <w:ilvl w:val="0"/>
          <w:numId w:val="89"/>
        </w:numPr>
        <w:overflowPunct/>
        <w:autoSpaceDE/>
        <w:autoSpaceDN/>
        <w:adjustRightInd/>
        <w:spacing w:before="120" w:after="120" w:line="276" w:lineRule="auto"/>
        <w:ind w:left="567" w:hanging="567"/>
        <w:jc w:val="left"/>
        <w:textAlignment w:val="auto"/>
        <w:rPr>
          <w:rFonts w:ascii="Arial" w:eastAsia="Calibri" w:hAnsi="Arial" w:cs="Arial"/>
          <w:b/>
          <w:bCs/>
          <w:sz w:val="24"/>
          <w:szCs w:val="24"/>
        </w:rPr>
      </w:pPr>
      <w:r w:rsidRPr="00A11DE5">
        <w:rPr>
          <w:rFonts w:ascii="Arial" w:eastAsia="Calibri" w:hAnsi="Arial" w:cs="Arial"/>
          <w:b/>
          <w:bCs/>
          <w:sz w:val="24"/>
          <w:szCs w:val="24"/>
        </w:rPr>
        <w:t>Overtime, Unsocial Hours</w:t>
      </w:r>
      <w:r w:rsidR="00935659" w:rsidRPr="00935659">
        <w:rPr>
          <w:rFonts w:ascii="Arial" w:eastAsia="Calibri" w:hAnsi="Arial" w:cs="Arial"/>
          <w:b/>
          <w:bCs/>
          <w:sz w:val="24"/>
          <w:szCs w:val="24"/>
        </w:rPr>
        <w:t xml:space="preserve"> </w:t>
      </w:r>
      <w:r w:rsidR="00935659">
        <w:rPr>
          <w:rFonts w:ascii="Arial" w:eastAsia="Calibri" w:hAnsi="Arial" w:cs="Arial"/>
          <w:b/>
          <w:bCs/>
          <w:sz w:val="24"/>
          <w:szCs w:val="24"/>
        </w:rPr>
        <w:t xml:space="preserve">and </w:t>
      </w:r>
      <w:r w:rsidR="00935659" w:rsidRPr="00A11DE5">
        <w:rPr>
          <w:rFonts w:ascii="Arial" w:eastAsia="Calibri" w:hAnsi="Arial" w:cs="Arial"/>
          <w:b/>
          <w:bCs/>
          <w:sz w:val="24"/>
          <w:szCs w:val="24"/>
        </w:rPr>
        <w:t>On-Call</w:t>
      </w:r>
    </w:p>
    <w:p w14:paraId="6ED02776" w14:textId="3B7D61E0" w:rsidR="00871BEF" w:rsidRDefault="0005360A" w:rsidP="0038487E">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Save as set out below t</w:t>
      </w:r>
      <w:r w:rsidR="00871BEF">
        <w:rPr>
          <w:rFonts w:ascii="Arial" w:eastAsia="Arial" w:hAnsi="Arial" w:cs="Arial"/>
          <w:color w:val="000000"/>
          <w:sz w:val="24"/>
          <w:szCs w:val="24"/>
        </w:rPr>
        <w:t xml:space="preserve">he Supplier shall charge </w:t>
      </w:r>
      <w:r w:rsidR="00C419AE">
        <w:rPr>
          <w:rFonts w:ascii="Arial" w:eastAsia="Arial" w:hAnsi="Arial" w:cs="Arial"/>
          <w:color w:val="000000"/>
          <w:sz w:val="24"/>
          <w:szCs w:val="24"/>
        </w:rPr>
        <w:t xml:space="preserve">per </w:t>
      </w:r>
      <w:r w:rsidR="00A108F7">
        <w:rPr>
          <w:rFonts w:ascii="Arial" w:eastAsia="Arial" w:hAnsi="Arial" w:cs="Arial"/>
          <w:color w:val="000000"/>
          <w:sz w:val="24"/>
          <w:szCs w:val="24"/>
        </w:rPr>
        <w:t xml:space="preserve">Work </w:t>
      </w:r>
      <w:r w:rsidR="00C419AE">
        <w:rPr>
          <w:rFonts w:ascii="Arial" w:eastAsia="Arial" w:hAnsi="Arial" w:cs="Arial"/>
          <w:color w:val="000000"/>
          <w:sz w:val="24"/>
          <w:szCs w:val="24"/>
        </w:rPr>
        <w:t>Day</w:t>
      </w:r>
      <w:r w:rsidR="00871BEF">
        <w:rPr>
          <w:rFonts w:ascii="Arial" w:eastAsia="Arial" w:hAnsi="Arial" w:cs="Arial"/>
          <w:color w:val="000000"/>
          <w:sz w:val="24"/>
          <w:szCs w:val="24"/>
        </w:rPr>
        <w:t>.</w:t>
      </w:r>
    </w:p>
    <w:p w14:paraId="1A7FDB5C" w14:textId="02722836" w:rsidR="00AB181E" w:rsidRDefault="00AB181E" w:rsidP="0038487E">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 xml:space="preserve">Supplier Staff shall work a minimum of 7.5 </w:t>
      </w:r>
      <w:r w:rsidR="00A108F7">
        <w:rPr>
          <w:rFonts w:ascii="Arial" w:eastAsia="Arial" w:hAnsi="Arial" w:cs="Arial"/>
          <w:color w:val="000000"/>
          <w:sz w:val="24"/>
          <w:szCs w:val="24"/>
        </w:rPr>
        <w:t>Work H</w:t>
      </w:r>
      <w:r>
        <w:rPr>
          <w:rFonts w:ascii="Arial" w:eastAsia="Arial" w:hAnsi="Arial" w:cs="Arial"/>
          <w:color w:val="000000"/>
          <w:sz w:val="24"/>
          <w:szCs w:val="24"/>
        </w:rPr>
        <w:t xml:space="preserve">ours </w:t>
      </w:r>
      <w:r w:rsidR="003A5495">
        <w:rPr>
          <w:rFonts w:ascii="Arial" w:eastAsia="Arial" w:hAnsi="Arial" w:cs="Arial"/>
          <w:color w:val="000000"/>
          <w:sz w:val="24"/>
          <w:szCs w:val="24"/>
        </w:rPr>
        <w:t xml:space="preserve">per </w:t>
      </w:r>
      <w:r w:rsidR="00A108F7">
        <w:rPr>
          <w:rFonts w:ascii="Arial" w:eastAsia="Arial" w:hAnsi="Arial" w:cs="Arial"/>
          <w:color w:val="000000"/>
          <w:sz w:val="24"/>
          <w:szCs w:val="24"/>
        </w:rPr>
        <w:t xml:space="preserve">Work </w:t>
      </w:r>
      <w:r w:rsidR="003A5495">
        <w:rPr>
          <w:rFonts w:ascii="Arial" w:eastAsia="Arial" w:hAnsi="Arial" w:cs="Arial"/>
          <w:color w:val="000000"/>
          <w:sz w:val="24"/>
          <w:szCs w:val="24"/>
        </w:rPr>
        <w:t>Day.</w:t>
      </w:r>
    </w:p>
    <w:p w14:paraId="4286D965" w14:textId="469A7852" w:rsidR="00871BEF" w:rsidRDefault="00576F20" w:rsidP="0038487E">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 xml:space="preserve">Subject to </w:t>
      </w:r>
      <w:r w:rsidR="003537AB">
        <w:rPr>
          <w:rFonts w:ascii="Arial" w:eastAsia="Arial" w:hAnsi="Arial" w:cs="Arial"/>
          <w:color w:val="000000"/>
          <w:sz w:val="24"/>
          <w:szCs w:val="24"/>
        </w:rPr>
        <w:t xml:space="preserve">any </w:t>
      </w:r>
      <w:r w:rsidR="00EE5695">
        <w:rPr>
          <w:rFonts w:ascii="Arial" w:eastAsia="Arial" w:hAnsi="Arial" w:cs="Arial"/>
          <w:color w:val="000000"/>
          <w:sz w:val="24"/>
          <w:szCs w:val="24"/>
        </w:rPr>
        <w:t xml:space="preserve">written </w:t>
      </w:r>
      <w:r>
        <w:rPr>
          <w:rFonts w:ascii="Arial" w:eastAsia="Arial" w:hAnsi="Arial" w:cs="Arial"/>
          <w:color w:val="000000"/>
          <w:sz w:val="24"/>
          <w:szCs w:val="24"/>
        </w:rPr>
        <w:t>agreement</w:t>
      </w:r>
      <w:r w:rsidR="003537AB">
        <w:rPr>
          <w:rFonts w:ascii="Arial" w:eastAsia="Arial" w:hAnsi="Arial" w:cs="Arial"/>
          <w:color w:val="000000"/>
          <w:sz w:val="24"/>
          <w:szCs w:val="24"/>
        </w:rPr>
        <w:t xml:space="preserve"> to the contrary </w:t>
      </w:r>
      <w:r>
        <w:rPr>
          <w:rFonts w:ascii="Arial" w:eastAsia="Arial" w:hAnsi="Arial" w:cs="Arial"/>
          <w:color w:val="000000"/>
          <w:sz w:val="24"/>
          <w:szCs w:val="24"/>
        </w:rPr>
        <w:t xml:space="preserve">in accordance with </w:t>
      </w:r>
      <w:r w:rsidR="00A108F7">
        <w:rPr>
          <w:rFonts w:ascii="Arial" w:eastAsia="Arial" w:hAnsi="Arial" w:cs="Arial"/>
          <w:color w:val="000000"/>
          <w:sz w:val="24"/>
          <w:szCs w:val="24"/>
        </w:rPr>
        <w:t>Paragraph</w:t>
      </w:r>
      <w:r>
        <w:rPr>
          <w:rFonts w:ascii="Arial" w:eastAsia="Arial" w:hAnsi="Arial" w:cs="Arial"/>
          <w:color w:val="000000"/>
          <w:sz w:val="24"/>
          <w:szCs w:val="24"/>
        </w:rPr>
        <w:t xml:space="preserve"> </w:t>
      </w:r>
      <w:r w:rsidR="00A108F7">
        <w:rPr>
          <w:rFonts w:ascii="Arial" w:eastAsia="Arial" w:hAnsi="Arial" w:cs="Arial"/>
          <w:color w:val="000000"/>
          <w:sz w:val="24"/>
          <w:szCs w:val="24"/>
        </w:rPr>
        <w:fldChar w:fldCharType="begin"/>
      </w:r>
      <w:r w:rsidR="00A108F7">
        <w:rPr>
          <w:rFonts w:ascii="Arial" w:eastAsia="Arial" w:hAnsi="Arial" w:cs="Arial"/>
          <w:color w:val="000000"/>
          <w:sz w:val="24"/>
          <w:szCs w:val="24"/>
        </w:rPr>
        <w:instrText xml:space="preserve"> REF _Ref47108323 \r \h </w:instrText>
      </w:r>
      <w:r w:rsidR="00A108F7">
        <w:rPr>
          <w:rFonts w:ascii="Arial" w:eastAsia="Arial" w:hAnsi="Arial" w:cs="Arial"/>
          <w:color w:val="000000"/>
          <w:sz w:val="24"/>
          <w:szCs w:val="24"/>
        </w:rPr>
      </w:r>
      <w:r w:rsidR="00A108F7">
        <w:rPr>
          <w:rFonts w:ascii="Arial" w:eastAsia="Arial" w:hAnsi="Arial" w:cs="Arial"/>
          <w:color w:val="000000"/>
          <w:sz w:val="24"/>
          <w:szCs w:val="24"/>
        </w:rPr>
        <w:fldChar w:fldCharType="separate"/>
      </w:r>
      <w:r w:rsidR="00A108F7">
        <w:rPr>
          <w:rFonts w:ascii="Arial" w:eastAsia="Arial" w:hAnsi="Arial" w:cs="Arial"/>
          <w:color w:val="000000"/>
          <w:sz w:val="24"/>
          <w:szCs w:val="24"/>
        </w:rPr>
        <w:t>7.6</w:t>
      </w:r>
      <w:r w:rsidR="00A108F7">
        <w:rPr>
          <w:rFonts w:ascii="Arial" w:eastAsia="Arial" w:hAnsi="Arial" w:cs="Arial"/>
          <w:color w:val="000000"/>
          <w:sz w:val="24"/>
          <w:szCs w:val="24"/>
        </w:rPr>
        <w:fldChar w:fldCharType="end"/>
      </w:r>
      <w:r>
        <w:rPr>
          <w:rFonts w:ascii="Arial" w:eastAsia="Arial" w:hAnsi="Arial" w:cs="Arial"/>
          <w:color w:val="000000"/>
          <w:sz w:val="24"/>
          <w:szCs w:val="24"/>
        </w:rPr>
        <w:t>, w</w:t>
      </w:r>
      <w:r w:rsidR="00871BEF">
        <w:rPr>
          <w:rFonts w:ascii="Arial" w:eastAsia="Arial" w:hAnsi="Arial" w:cs="Arial"/>
          <w:color w:val="000000"/>
          <w:sz w:val="24"/>
          <w:szCs w:val="24"/>
        </w:rPr>
        <w:t xml:space="preserve">hilst the standard </w:t>
      </w:r>
      <w:r w:rsidR="00A108F7">
        <w:rPr>
          <w:rFonts w:ascii="Arial" w:eastAsia="Arial" w:hAnsi="Arial" w:cs="Arial"/>
          <w:color w:val="000000"/>
          <w:sz w:val="24"/>
          <w:szCs w:val="24"/>
        </w:rPr>
        <w:t>Work Day</w:t>
      </w:r>
      <w:r w:rsidR="00871BEF">
        <w:rPr>
          <w:rFonts w:ascii="Arial" w:eastAsia="Arial" w:hAnsi="Arial" w:cs="Arial"/>
          <w:color w:val="000000"/>
          <w:sz w:val="24"/>
          <w:szCs w:val="24"/>
        </w:rPr>
        <w:t xml:space="preserve"> is 7.5 </w:t>
      </w:r>
      <w:r w:rsidR="00A108F7">
        <w:rPr>
          <w:rFonts w:ascii="Arial" w:eastAsia="Arial" w:hAnsi="Arial" w:cs="Arial"/>
          <w:color w:val="000000"/>
          <w:sz w:val="24"/>
          <w:szCs w:val="24"/>
        </w:rPr>
        <w:t>Work H</w:t>
      </w:r>
      <w:r w:rsidR="00871BEF">
        <w:rPr>
          <w:rFonts w:ascii="Arial" w:eastAsia="Arial" w:hAnsi="Arial" w:cs="Arial"/>
          <w:color w:val="000000"/>
          <w:sz w:val="24"/>
          <w:szCs w:val="24"/>
        </w:rPr>
        <w:t xml:space="preserve">ours per day, it is anticipated that </w:t>
      </w:r>
      <w:r w:rsidR="00A108F7">
        <w:rPr>
          <w:rFonts w:ascii="Arial" w:eastAsia="Arial" w:hAnsi="Arial" w:cs="Arial"/>
          <w:color w:val="000000"/>
          <w:sz w:val="24"/>
          <w:szCs w:val="24"/>
        </w:rPr>
        <w:t xml:space="preserve">Supplier Staff </w:t>
      </w:r>
      <w:r w:rsidR="00871BEF">
        <w:rPr>
          <w:rFonts w:ascii="Arial" w:eastAsia="Arial" w:hAnsi="Arial" w:cs="Arial"/>
          <w:color w:val="000000"/>
          <w:sz w:val="24"/>
          <w:szCs w:val="24"/>
        </w:rPr>
        <w:t xml:space="preserve">may </w:t>
      </w:r>
      <w:r w:rsidR="003537AB">
        <w:rPr>
          <w:rFonts w:ascii="Arial" w:eastAsia="Arial" w:hAnsi="Arial" w:cs="Arial"/>
          <w:color w:val="000000"/>
          <w:sz w:val="24"/>
          <w:szCs w:val="24"/>
        </w:rPr>
        <w:t xml:space="preserve">on occasion </w:t>
      </w:r>
      <w:r w:rsidR="00871BEF">
        <w:rPr>
          <w:rFonts w:ascii="Arial" w:eastAsia="Arial" w:hAnsi="Arial" w:cs="Arial"/>
          <w:color w:val="000000"/>
          <w:sz w:val="24"/>
          <w:szCs w:val="24"/>
        </w:rPr>
        <w:t xml:space="preserve"> </w:t>
      </w:r>
      <w:r w:rsidR="000708A8">
        <w:rPr>
          <w:rFonts w:ascii="Arial" w:eastAsia="Arial" w:hAnsi="Arial" w:cs="Arial"/>
          <w:color w:val="000000"/>
          <w:sz w:val="24"/>
          <w:szCs w:val="24"/>
        </w:rPr>
        <w:t xml:space="preserve">be </w:t>
      </w:r>
      <w:r w:rsidR="00871BEF">
        <w:rPr>
          <w:rFonts w:ascii="Arial" w:eastAsia="Arial" w:hAnsi="Arial" w:cs="Arial"/>
          <w:color w:val="000000"/>
          <w:sz w:val="24"/>
          <w:szCs w:val="24"/>
        </w:rPr>
        <w:t>require</w:t>
      </w:r>
      <w:r w:rsidR="000708A8">
        <w:rPr>
          <w:rFonts w:ascii="Arial" w:eastAsia="Arial" w:hAnsi="Arial" w:cs="Arial"/>
          <w:color w:val="000000"/>
          <w:sz w:val="24"/>
          <w:szCs w:val="24"/>
        </w:rPr>
        <w:t>d</w:t>
      </w:r>
      <w:r w:rsidR="00871BEF">
        <w:rPr>
          <w:rFonts w:ascii="Arial" w:eastAsia="Arial" w:hAnsi="Arial" w:cs="Arial"/>
          <w:color w:val="000000"/>
          <w:sz w:val="24"/>
          <w:szCs w:val="24"/>
        </w:rPr>
        <w:t xml:space="preserve"> </w:t>
      </w:r>
      <w:r w:rsidR="00CA067D">
        <w:rPr>
          <w:rFonts w:ascii="Arial" w:eastAsia="Arial" w:hAnsi="Arial" w:cs="Arial"/>
          <w:color w:val="000000"/>
          <w:sz w:val="24"/>
          <w:szCs w:val="24"/>
        </w:rPr>
        <w:t xml:space="preserve">by the Supplier </w:t>
      </w:r>
      <w:r w:rsidR="00871BEF">
        <w:rPr>
          <w:rFonts w:ascii="Arial" w:eastAsia="Arial" w:hAnsi="Arial" w:cs="Arial"/>
          <w:color w:val="000000"/>
          <w:sz w:val="24"/>
          <w:szCs w:val="24"/>
        </w:rPr>
        <w:t xml:space="preserve">to work additional hours to perform their work. </w:t>
      </w:r>
      <w:r w:rsidR="00165D8C">
        <w:rPr>
          <w:rFonts w:ascii="Arial" w:eastAsia="Arial" w:hAnsi="Arial" w:cs="Arial"/>
          <w:color w:val="000000"/>
          <w:sz w:val="24"/>
          <w:szCs w:val="24"/>
        </w:rPr>
        <w:t xml:space="preserve">Such </w:t>
      </w:r>
      <w:r w:rsidR="00871BEF">
        <w:rPr>
          <w:rFonts w:ascii="Arial" w:eastAsia="Arial" w:hAnsi="Arial" w:cs="Arial"/>
          <w:color w:val="000000"/>
          <w:sz w:val="24"/>
          <w:szCs w:val="24"/>
        </w:rPr>
        <w:t>overtime</w:t>
      </w:r>
      <w:r w:rsidR="008934A7">
        <w:rPr>
          <w:rFonts w:ascii="Arial" w:eastAsia="Arial" w:hAnsi="Arial" w:cs="Arial"/>
          <w:color w:val="000000"/>
          <w:sz w:val="24"/>
          <w:szCs w:val="24"/>
        </w:rPr>
        <w:t xml:space="preserve"> </w:t>
      </w:r>
      <w:r w:rsidR="00871BEF">
        <w:rPr>
          <w:rFonts w:ascii="Arial" w:eastAsia="Arial" w:hAnsi="Arial" w:cs="Arial"/>
          <w:color w:val="000000"/>
          <w:sz w:val="24"/>
          <w:szCs w:val="24"/>
        </w:rPr>
        <w:t>shall not be chargeable</w:t>
      </w:r>
      <w:r w:rsidR="008934A7">
        <w:rPr>
          <w:rFonts w:ascii="Arial" w:eastAsia="Arial" w:hAnsi="Arial" w:cs="Arial"/>
          <w:color w:val="000000"/>
          <w:sz w:val="24"/>
          <w:szCs w:val="24"/>
        </w:rPr>
        <w:t xml:space="preserve"> to the Buyer</w:t>
      </w:r>
      <w:r w:rsidR="00871BEF">
        <w:rPr>
          <w:rFonts w:ascii="Arial" w:eastAsia="Arial" w:hAnsi="Arial" w:cs="Arial"/>
          <w:color w:val="000000"/>
          <w:sz w:val="24"/>
          <w:szCs w:val="24"/>
        </w:rPr>
        <w:t>.</w:t>
      </w:r>
    </w:p>
    <w:p w14:paraId="142B3FB2" w14:textId="0ACBC20F" w:rsidR="0075620B" w:rsidRPr="00D60FA9" w:rsidRDefault="0075620B" w:rsidP="00CE528C">
      <w:pPr>
        <w:spacing w:before="240" w:after="0"/>
        <w:rPr>
          <w:rFonts w:ascii="Arial" w:eastAsia="Arial" w:hAnsi="Arial" w:cs="Arial"/>
          <w:b/>
          <w:bCs/>
        </w:rPr>
      </w:pPr>
      <w:r w:rsidRPr="00D60FA9">
        <w:rPr>
          <w:rFonts w:ascii="Arial" w:eastAsia="Arial" w:hAnsi="Arial" w:cs="Arial"/>
          <w:b/>
          <w:bCs/>
        </w:rPr>
        <w:t>Overtime</w:t>
      </w:r>
    </w:p>
    <w:p w14:paraId="4DAF15BB" w14:textId="17E8DBEC" w:rsidR="00871BEF" w:rsidRDefault="00871BEF" w:rsidP="0038487E">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 xml:space="preserve">Where a </w:t>
      </w:r>
      <w:r w:rsidR="00C419AE">
        <w:rPr>
          <w:rFonts w:ascii="Arial" w:eastAsia="Arial" w:hAnsi="Arial" w:cs="Arial"/>
          <w:color w:val="000000"/>
          <w:sz w:val="24"/>
          <w:szCs w:val="24"/>
        </w:rPr>
        <w:t>member of Supplier Staff</w:t>
      </w:r>
      <w:r>
        <w:rPr>
          <w:rFonts w:ascii="Arial" w:eastAsia="Arial" w:hAnsi="Arial" w:cs="Arial"/>
          <w:color w:val="000000"/>
          <w:sz w:val="24"/>
          <w:szCs w:val="24"/>
        </w:rPr>
        <w:t xml:space="preserve"> is specifically requested by the Buyer to work more than an additional 2 </w:t>
      </w:r>
      <w:r w:rsidR="00A108F7">
        <w:rPr>
          <w:rFonts w:ascii="Arial" w:eastAsia="Arial" w:hAnsi="Arial" w:cs="Arial"/>
          <w:color w:val="000000"/>
          <w:sz w:val="24"/>
          <w:szCs w:val="24"/>
        </w:rPr>
        <w:t xml:space="preserve">Work </w:t>
      </w:r>
      <w:r w:rsidR="00C419AE">
        <w:rPr>
          <w:rFonts w:ascii="Arial" w:eastAsia="Arial" w:hAnsi="Arial" w:cs="Arial"/>
          <w:color w:val="000000"/>
          <w:sz w:val="24"/>
          <w:szCs w:val="24"/>
        </w:rPr>
        <w:t>H</w:t>
      </w:r>
      <w:r>
        <w:rPr>
          <w:rFonts w:ascii="Arial" w:eastAsia="Arial" w:hAnsi="Arial" w:cs="Arial"/>
          <w:color w:val="000000"/>
          <w:sz w:val="24"/>
          <w:szCs w:val="24"/>
        </w:rPr>
        <w:t xml:space="preserve">ours per day on a regular basis (3 or more times over a given week), the Supplier may request overtime payments. </w:t>
      </w:r>
      <w:r w:rsidR="00866351">
        <w:rPr>
          <w:rFonts w:ascii="Arial" w:eastAsia="Arial" w:hAnsi="Arial" w:cs="Arial"/>
          <w:color w:val="000000"/>
          <w:sz w:val="24"/>
          <w:szCs w:val="24"/>
        </w:rPr>
        <w:t>If agreed, s</w:t>
      </w:r>
      <w:r>
        <w:rPr>
          <w:rFonts w:ascii="Arial" w:eastAsia="Arial" w:hAnsi="Arial" w:cs="Arial"/>
          <w:color w:val="000000"/>
          <w:sz w:val="24"/>
          <w:szCs w:val="24"/>
        </w:rPr>
        <w:t xml:space="preserve">uch overtime payments shall be based on hourly increments </w:t>
      </w:r>
      <w:r w:rsidR="006E38FF">
        <w:rPr>
          <w:rFonts w:ascii="Arial" w:eastAsia="Arial" w:hAnsi="Arial" w:cs="Arial"/>
          <w:color w:val="000000"/>
          <w:sz w:val="24"/>
          <w:szCs w:val="24"/>
        </w:rPr>
        <w:t>(</w:t>
      </w:r>
      <w:r>
        <w:rPr>
          <w:rFonts w:ascii="Arial" w:eastAsia="Arial" w:hAnsi="Arial" w:cs="Arial"/>
          <w:color w:val="000000"/>
          <w:sz w:val="24"/>
          <w:szCs w:val="24"/>
        </w:rPr>
        <w:t xml:space="preserve">assuming an </w:t>
      </w:r>
      <w:r w:rsidR="006E38FF">
        <w:rPr>
          <w:rFonts w:ascii="Arial" w:eastAsia="Arial" w:hAnsi="Arial" w:cs="Arial"/>
          <w:color w:val="000000"/>
          <w:sz w:val="24"/>
          <w:szCs w:val="24"/>
        </w:rPr>
        <w:t>8</w:t>
      </w:r>
      <w:r>
        <w:rPr>
          <w:rFonts w:ascii="Arial" w:eastAsia="Arial" w:hAnsi="Arial" w:cs="Arial"/>
          <w:color w:val="000000"/>
          <w:sz w:val="24"/>
          <w:szCs w:val="24"/>
        </w:rPr>
        <w:t xml:space="preserve"> </w:t>
      </w:r>
      <w:r w:rsidR="00A108F7">
        <w:rPr>
          <w:rFonts w:ascii="Arial" w:eastAsia="Arial" w:hAnsi="Arial" w:cs="Arial"/>
          <w:color w:val="000000"/>
          <w:sz w:val="24"/>
          <w:szCs w:val="24"/>
        </w:rPr>
        <w:t>Work H</w:t>
      </w:r>
      <w:r w:rsidR="00C419AE">
        <w:rPr>
          <w:rFonts w:ascii="Arial" w:eastAsia="Arial" w:hAnsi="Arial" w:cs="Arial"/>
          <w:color w:val="000000"/>
          <w:sz w:val="24"/>
          <w:szCs w:val="24"/>
        </w:rPr>
        <w:t>our</w:t>
      </w:r>
      <w:r>
        <w:rPr>
          <w:rFonts w:ascii="Arial" w:eastAsia="Arial" w:hAnsi="Arial" w:cs="Arial"/>
          <w:color w:val="000000"/>
          <w:sz w:val="24"/>
          <w:szCs w:val="24"/>
        </w:rPr>
        <w:t xml:space="preserve"> day for the purposes of this calculation</w:t>
      </w:r>
      <w:r w:rsidR="006E38FF">
        <w:rPr>
          <w:rFonts w:ascii="Arial" w:eastAsia="Arial" w:hAnsi="Arial" w:cs="Arial"/>
          <w:color w:val="000000"/>
          <w:sz w:val="24"/>
          <w:szCs w:val="24"/>
        </w:rPr>
        <w:t>)</w:t>
      </w:r>
      <w:r>
        <w:rPr>
          <w:rFonts w:ascii="Arial" w:eastAsia="Arial" w:hAnsi="Arial" w:cs="Arial"/>
          <w:color w:val="000000"/>
          <w:sz w:val="24"/>
          <w:szCs w:val="24"/>
        </w:rPr>
        <w:t>.</w:t>
      </w:r>
    </w:p>
    <w:p w14:paraId="3CEA50DC" w14:textId="7C7D78FC" w:rsidR="00EC02F9" w:rsidRDefault="00871BEF" w:rsidP="00EC02F9">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bookmarkStart w:id="2" w:name="_Ref47096510"/>
      <w:r>
        <w:rPr>
          <w:rFonts w:ascii="Arial" w:eastAsia="Arial" w:hAnsi="Arial" w:cs="Arial"/>
          <w:color w:val="000000"/>
          <w:sz w:val="24"/>
          <w:szCs w:val="24"/>
        </w:rPr>
        <w:t xml:space="preserve">The Supplier shall </w:t>
      </w:r>
      <w:r w:rsidR="008E10E5">
        <w:rPr>
          <w:rFonts w:ascii="Arial" w:eastAsia="Arial" w:hAnsi="Arial" w:cs="Arial"/>
          <w:color w:val="000000"/>
          <w:sz w:val="24"/>
          <w:szCs w:val="24"/>
        </w:rPr>
        <w:t xml:space="preserve">only </w:t>
      </w:r>
      <w:r>
        <w:rPr>
          <w:rFonts w:ascii="Arial" w:eastAsia="Arial" w:hAnsi="Arial" w:cs="Arial"/>
          <w:color w:val="000000"/>
          <w:sz w:val="24"/>
          <w:szCs w:val="24"/>
        </w:rPr>
        <w:t xml:space="preserve">be entitled to charge overtime </w:t>
      </w:r>
      <w:r w:rsidR="008E10E5">
        <w:rPr>
          <w:rFonts w:ascii="Arial" w:eastAsia="Arial" w:hAnsi="Arial" w:cs="Arial"/>
          <w:color w:val="000000"/>
          <w:sz w:val="24"/>
          <w:szCs w:val="24"/>
        </w:rPr>
        <w:t xml:space="preserve">where the Buyer has approved </w:t>
      </w:r>
      <w:r w:rsidR="00EB4F97">
        <w:rPr>
          <w:rFonts w:ascii="Arial" w:eastAsia="Arial" w:hAnsi="Arial" w:cs="Arial"/>
          <w:color w:val="000000"/>
          <w:sz w:val="24"/>
          <w:szCs w:val="24"/>
        </w:rPr>
        <w:t>the overtime</w:t>
      </w:r>
      <w:r w:rsidR="008E10E5">
        <w:rPr>
          <w:rFonts w:ascii="Arial" w:eastAsia="Arial" w:hAnsi="Arial" w:cs="Arial"/>
          <w:color w:val="000000"/>
          <w:sz w:val="24"/>
          <w:szCs w:val="24"/>
        </w:rPr>
        <w:t xml:space="preserve"> request in advance </w:t>
      </w:r>
      <w:r w:rsidR="00EB4F97">
        <w:rPr>
          <w:rFonts w:ascii="Arial" w:eastAsia="Arial" w:hAnsi="Arial" w:cs="Arial"/>
          <w:color w:val="000000"/>
          <w:sz w:val="24"/>
          <w:szCs w:val="24"/>
        </w:rPr>
        <w:t>in writing</w:t>
      </w:r>
      <w:r w:rsidR="00935659">
        <w:rPr>
          <w:rFonts w:ascii="Arial" w:eastAsia="Arial" w:hAnsi="Arial" w:cs="Arial"/>
          <w:color w:val="000000"/>
          <w:sz w:val="24"/>
          <w:szCs w:val="24"/>
        </w:rPr>
        <w:t xml:space="preserve"> in a Statement of Work</w:t>
      </w:r>
      <w:r>
        <w:rPr>
          <w:rFonts w:ascii="Arial" w:eastAsia="Arial" w:hAnsi="Arial" w:cs="Arial"/>
          <w:color w:val="000000"/>
          <w:sz w:val="24"/>
          <w:szCs w:val="24"/>
        </w:rPr>
        <w:t>.</w:t>
      </w:r>
      <w:bookmarkEnd w:id="2"/>
    </w:p>
    <w:p w14:paraId="43A0E38E" w14:textId="77777777" w:rsidR="0072055A" w:rsidRPr="00C16A1D" w:rsidRDefault="0072055A" w:rsidP="0072055A">
      <w:pPr>
        <w:spacing w:before="240" w:after="0"/>
        <w:rPr>
          <w:rFonts w:ascii="Arial" w:eastAsia="Arial" w:hAnsi="Arial" w:cs="Arial"/>
          <w:b/>
          <w:bCs/>
        </w:rPr>
      </w:pPr>
      <w:r w:rsidRPr="00C16A1D">
        <w:rPr>
          <w:rFonts w:ascii="Arial" w:eastAsia="Arial" w:hAnsi="Arial" w:cs="Arial"/>
          <w:b/>
          <w:bCs/>
        </w:rPr>
        <w:lastRenderedPageBreak/>
        <w:t>Unsocial Hours</w:t>
      </w:r>
    </w:p>
    <w:p w14:paraId="296EE647" w14:textId="30A42E7E" w:rsidR="00453D7F" w:rsidRDefault="0072055A" w:rsidP="0072055A">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bookmarkStart w:id="3" w:name="_Ref47108323"/>
      <w:r>
        <w:rPr>
          <w:rFonts w:ascii="Arial" w:eastAsia="Arial" w:hAnsi="Arial" w:cs="Arial"/>
          <w:color w:val="000000"/>
          <w:sz w:val="24"/>
          <w:szCs w:val="24"/>
        </w:rPr>
        <w:t xml:space="preserve">The Buyer may request that the Supplier provides Deliverables at unsocial times. </w:t>
      </w:r>
      <w:r w:rsidR="00453D7F">
        <w:rPr>
          <w:rFonts w:ascii="Arial" w:eastAsia="Arial" w:hAnsi="Arial" w:cs="Arial"/>
          <w:color w:val="000000"/>
          <w:sz w:val="24"/>
          <w:szCs w:val="24"/>
        </w:rPr>
        <w:t xml:space="preserve"> Any such request must be agreed by the Supplier in writing</w:t>
      </w:r>
      <w:r w:rsidR="001802AC">
        <w:rPr>
          <w:rFonts w:ascii="Arial" w:eastAsia="Arial" w:hAnsi="Arial" w:cs="Arial"/>
          <w:color w:val="000000"/>
          <w:sz w:val="24"/>
          <w:szCs w:val="24"/>
        </w:rPr>
        <w:t xml:space="preserve"> in a Statement of Work</w:t>
      </w:r>
      <w:r w:rsidR="00453D7F">
        <w:rPr>
          <w:rFonts w:ascii="Arial" w:eastAsia="Arial" w:hAnsi="Arial" w:cs="Arial"/>
          <w:color w:val="000000"/>
          <w:sz w:val="24"/>
          <w:szCs w:val="24"/>
        </w:rPr>
        <w:t>.</w:t>
      </w:r>
      <w:bookmarkEnd w:id="3"/>
    </w:p>
    <w:p w14:paraId="0E468FD0" w14:textId="664969DB" w:rsidR="0072055A" w:rsidRPr="0045378E" w:rsidRDefault="0072055A" w:rsidP="0072055A">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U</w:t>
      </w:r>
      <w:r w:rsidRPr="0045378E">
        <w:rPr>
          <w:rFonts w:ascii="Arial" w:eastAsia="Arial" w:hAnsi="Arial" w:cs="Arial"/>
          <w:color w:val="000000"/>
          <w:sz w:val="24"/>
          <w:szCs w:val="24"/>
        </w:rPr>
        <w:t xml:space="preserve">nsocial times </w:t>
      </w:r>
      <w:r>
        <w:rPr>
          <w:rFonts w:ascii="Arial" w:eastAsia="Arial" w:hAnsi="Arial" w:cs="Arial"/>
          <w:color w:val="000000"/>
          <w:sz w:val="24"/>
          <w:szCs w:val="24"/>
        </w:rPr>
        <w:t>means</w:t>
      </w:r>
      <w:r w:rsidRPr="0045378E">
        <w:rPr>
          <w:rFonts w:ascii="Arial" w:eastAsia="Arial" w:hAnsi="Arial" w:cs="Arial"/>
          <w:color w:val="000000"/>
          <w:sz w:val="24"/>
          <w:szCs w:val="24"/>
        </w:rPr>
        <w:t>:</w:t>
      </w:r>
    </w:p>
    <w:p w14:paraId="4407CE24" w14:textId="353A6AC5" w:rsidR="0072055A" w:rsidRPr="006F63C7" w:rsidRDefault="0072055A" w:rsidP="0072055A">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a</w:t>
      </w:r>
      <w:r w:rsidRPr="006F63C7">
        <w:rPr>
          <w:rFonts w:ascii="Arial" w:eastAsia="Arial" w:hAnsi="Arial" w:cs="Arial"/>
          <w:color w:val="000000"/>
          <w:sz w:val="24"/>
          <w:szCs w:val="24"/>
        </w:rPr>
        <w:t xml:space="preserve">ll time on Saturday (midnight to midnight) and any </w:t>
      </w:r>
      <w:r w:rsidR="00A108F7">
        <w:rPr>
          <w:rFonts w:ascii="Arial" w:eastAsia="Arial" w:hAnsi="Arial" w:cs="Arial"/>
          <w:color w:val="000000"/>
          <w:sz w:val="24"/>
          <w:szCs w:val="24"/>
        </w:rPr>
        <w:t>Working</w:t>
      </w:r>
      <w:r w:rsidR="00A108F7" w:rsidRPr="006F63C7">
        <w:rPr>
          <w:rFonts w:ascii="Arial" w:eastAsia="Arial" w:hAnsi="Arial" w:cs="Arial"/>
          <w:color w:val="000000"/>
          <w:sz w:val="24"/>
          <w:szCs w:val="24"/>
        </w:rPr>
        <w:t xml:space="preserve"> </w:t>
      </w:r>
      <w:r w:rsidR="00A108F7">
        <w:rPr>
          <w:rFonts w:ascii="Arial" w:eastAsia="Arial" w:hAnsi="Arial" w:cs="Arial"/>
          <w:color w:val="000000"/>
          <w:sz w:val="24"/>
          <w:szCs w:val="24"/>
        </w:rPr>
        <w:t>D</w:t>
      </w:r>
      <w:r w:rsidRPr="006F63C7">
        <w:rPr>
          <w:rFonts w:ascii="Arial" w:eastAsia="Arial" w:hAnsi="Arial" w:cs="Arial"/>
          <w:color w:val="000000"/>
          <w:sz w:val="24"/>
          <w:szCs w:val="24"/>
        </w:rPr>
        <w:t>ay after 8pm and before 6am; and</w:t>
      </w:r>
    </w:p>
    <w:p w14:paraId="7A7C2207" w14:textId="77777777" w:rsidR="0072055A" w:rsidRPr="006F63C7" w:rsidRDefault="0072055A" w:rsidP="0072055A">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a</w:t>
      </w:r>
      <w:r w:rsidRPr="006F63C7">
        <w:rPr>
          <w:rFonts w:ascii="Arial" w:eastAsia="Arial" w:hAnsi="Arial" w:cs="Arial"/>
          <w:color w:val="000000"/>
          <w:sz w:val="24"/>
          <w:szCs w:val="24"/>
        </w:rPr>
        <w:t>ll time on Sundays and Public Holidays (midnight to midnight).</w:t>
      </w:r>
    </w:p>
    <w:p w14:paraId="0732566A" w14:textId="18B826C9" w:rsidR="0072055A" w:rsidRDefault="0072055A" w:rsidP="0072055A">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 xml:space="preserve">The Supplier shall not be entitled to charge for unsocial working </w:t>
      </w:r>
      <w:r w:rsidR="0087100F">
        <w:rPr>
          <w:rFonts w:ascii="Arial" w:eastAsia="Arial" w:hAnsi="Arial" w:cs="Arial"/>
          <w:color w:val="000000"/>
          <w:sz w:val="24"/>
          <w:szCs w:val="24"/>
        </w:rPr>
        <w:t xml:space="preserve">hours </w:t>
      </w:r>
      <w:r>
        <w:rPr>
          <w:rFonts w:ascii="Arial" w:eastAsia="Arial" w:hAnsi="Arial" w:cs="Arial"/>
          <w:color w:val="000000"/>
          <w:sz w:val="24"/>
          <w:szCs w:val="24"/>
        </w:rPr>
        <w:t>unless it is approved in writing in advance by the Buyer:</w:t>
      </w:r>
    </w:p>
    <w:p w14:paraId="0BC4E41B" w14:textId="0067AF69" w:rsidR="00DC798C" w:rsidRPr="00DC798C" w:rsidRDefault="00A34E0A" w:rsidP="00DC798C">
      <w:pPr>
        <w:spacing w:before="240" w:after="0"/>
        <w:rPr>
          <w:rFonts w:ascii="Arial" w:eastAsia="Arial" w:hAnsi="Arial" w:cs="Arial"/>
          <w:b/>
          <w:bCs/>
        </w:rPr>
      </w:pPr>
      <w:r>
        <w:rPr>
          <w:rFonts w:ascii="Arial" w:eastAsia="Arial" w:hAnsi="Arial" w:cs="Arial"/>
          <w:b/>
          <w:bCs/>
        </w:rPr>
        <w:t>On-Call Support</w:t>
      </w:r>
    </w:p>
    <w:p w14:paraId="483E6440" w14:textId="235EB1F9" w:rsidR="00871BEF" w:rsidRPr="0028268C" w:rsidRDefault="00903C62" w:rsidP="00BC57BF">
      <w:pPr>
        <w:pStyle w:val="ListParagraph"/>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r w:rsidRPr="0028268C">
        <w:rPr>
          <w:rFonts w:ascii="Arial" w:eastAsia="Arial" w:hAnsi="Arial" w:cs="Arial"/>
          <w:color w:val="000000"/>
          <w:sz w:val="24"/>
          <w:szCs w:val="24"/>
        </w:rPr>
        <w:t>On</w:t>
      </w:r>
      <w:r w:rsidR="00A108F7">
        <w:rPr>
          <w:rFonts w:ascii="Arial" w:eastAsia="Arial" w:hAnsi="Arial" w:cs="Arial"/>
          <w:color w:val="000000"/>
          <w:sz w:val="24"/>
          <w:szCs w:val="24"/>
        </w:rPr>
        <w:t>-</w:t>
      </w:r>
      <w:r w:rsidRPr="0028268C">
        <w:rPr>
          <w:rFonts w:ascii="Arial" w:eastAsia="Arial" w:hAnsi="Arial" w:cs="Arial"/>
          <w:color w:val="000000"/>
          <w:sz w:val="24"/>
          <w:szCs w:val="24"/>
        </w:rPr>
        <w:t xml:space="preserve">call support means </w:t>
      </w:r>
      <w:r w:rsidR="000E1A01" w:rsidRPr="0028268C">
        <w:rPr>
          <w:rFonts w:ascii="Arial" w:eastAsia="Arial" w:hAnsi="Arial" w:cs="Arial"/>
          <w:color w:val="000000"/>
          <w:sz w:val="24"/>
          <w:szCs w:val="24"/>
        </w:rPr>
        <w:t xml:space="preserve">where </w:t>
      </w:r>
      <w:r w:rsidR="00A108F7">
        <w:rPr>
          <w:rFonts w:ascii="Arial" w:eastAsia="Arial" w:hAnsi="Arial" w:cs="Arial"/>
          <w:color w:val="000000"/>
          <w:sz w:val="24"/>
          <w:szCs w:val="24"/>
        </w:rPr>
        <w:t>Supplier Staff</w:t>
      </w:r>
      <w:r w:rsidR="00A108F7" w:rsidRPr="0028268C">
        <w:rPr>
          <w:rFonts w:ascii="Arial" w:eastAsia="Arial" w:hAnsi="Arial" w:cs="Arial"/>
          <w:color w:val="000000"/>
          <w:sz w:val="24"/>
          <w:szCs w:val="24"/>
        </w:rPr>
        <w:t xml:space="preserve"> </w:t>
      </w:r>
      <w:r w:rsidR="00A108F7">
        <w:rPr>
          <w:rFonts w:ascii="Arial" w:eastAsia="Arial" w:hAnsi="Arial" w:cs="Arial"/>
          <w:color w:val="000000"/>
          <w:sz w:val="24"/>
          <w:szCs w:val="24"/>
        </w:rPr>
        <w:t>are required to</w:t>
      </w:r>
      <w:r w:rsidR="000E1A01" w:rsidRPr="0028268C">
        <w:rPr>
          <w:rFonts w:ascii="Arial" w:eastAsia="Arial" w:hAnsi="Arial" w:cs="Arial"/>
          <w:color w:val="000000"/>
          <w:sz w:val="24"/>
          <w:szCs w:val="24"/>
        </w:rPr>
        <w:t xml:space="preserve"> be</w:t>
      </w:r>
      <w:r w:rsidR="002F1F78">
        <w:rPr>
          <w:rFonts w:ascii="Arial" w:eastAsia="Arial" w:hAnsi="Arial" w:cs="Arial"/>
          <w:color w:val="000000"/>
          <w:sz w:val="24"/>
          <w:szCs w:val="24"/>
        </w:rPr>
        <w:t xml:space="preserve"> </w:t>
      </w:r>
      <w:r w:rsidR="000E1A01" w:rsidRPr="0028268C">
        <w:rPr>
          <w:rFonts w:ascii="Arial" w:eastAsia="Arial" w:hAnsi="Arial" w:cs="Arial"/>
          <w:color w:val="000000"/>
          <w:sz w:val="24"/>
          <w:szCs w:val="24"/>
        </w:rPr>
        <w:t>availabl</w:t>
      </w:r>
      <w:r w:rsidR="0081564A" w:rsidRPr="0028268C">
        <w:rPr>
          <w:rFonts w:ascii="Arial" w:eastAsia="Arial" w:hAnsi="Arial" w:cs="Arial"/>
          <w:color w:val="000000"/>
          <w:sz w:val="24"/>
          <w:szCs w:val="24"/>
        </w:rPr>
        <w:t>e to</w:t>
      </w:r>
      <w:r w:rsidR="000E1A01" w:rsidRPr="0028268C">
        <w:rPr>
          <w:rFonts w:ascii="Arial" w:eastAsia="Arial" w:hAnsi="Arial" w:cs="Arial"/>
          <w:color w:val="000000"/>
          <w:sz w:val="24"/>
          <w:szCs w:val="24"/>
        </w:rPr>
        <w:t xml:space="preserve"> work and </w:t>
      </w:r>
      <w:r w:rsidR="002F1F78">
        <w:rPr>
          <w:rFonts w:ascii="Arial" w:eastAsia="Arial" w:hAnsi="Arial" w:cs="Arial"/>
          <w:color w:val="000000"/>
          <w:sz w:val="24"/>
          <w:szCs w:val="24"/>
        </w:rPr>
        <w:t>may be called upon to work either on-Site or remotely during pre-agreed periods of time</w:t>
      </w:r>
      <w:r w:rsidR="000E1A01" w:rsidRPr="0028268C">
        <w:rPr>
          <w:rFonts w:ascii="Arial" w:eastAsia="Arial" w:hAnsi="Arial" w:cs="Arial"/>
          <w:color w:val="000000"/>
          <w:sz w:val="24"/>
          <w:szCs w:val="24"/>
        </w:rPr>
        <w:t xml:space="preserve">. </w:t>
      </w:r>
      <w:r w:rsidR="00871BEF" w:rsidRPr="0028268C">
        <w:rPr>
          <w:rFonts w:ascii="Arial" w:eastAsia="Arial" w:hAnsi="Arial" w:cs="Arial"/>
          <w:color w:val="000000"/>
          <w:sz w:val="24"/>
          <w:szCs w:val="24"/>
        </w:rPr>
        <w:t xml:space="preserve">The Buyer may request that the Supplier provides on-call support. </w:t>
      </w:r>
      <w:r w:rsidR="00572297" w:rsidRPr="0028268C">
        <w:rPr>
          <w:rFonts w:ascii="Arial" w:eastAsia="Arial" w:hAnsi="Arial" w:cs="Arial"/>
          <w:color w:val="000000"/>
          <w:sz w:val="24"/>
          <w:szCs w:val="24"/>
        </w:rPr>
        <w:t>Any such request must be agreed by the Supplier in writing</w:t>
      </w:r>
      <w:r w:rsidR="001802AC" w:rsidRPr="0028268C">
        <w:rPr>
          <w:rFonts w:ascii="Arial" w:eastAsia="Arial" w:hAnsi="Arial" w:cs="Arial"/>
          <w:color w:val="000000"/>
          <w:sz w:val="24"/>
          <w:szCs w:val="24"/>
        </w:rPr>
        <w:t xml:space="preserve"> in a Statement of Work</w:t>
      </w:r>
      <w:r w:rsidR="00572297" w:rsidRPr="0028268C">
        <w:rPr>
          <w:rFonts w:ascii="Arial" w:eastAsia="Arial" w:hAnsi="Arial" w:cs="Arial"/>
          <w:color w:val="000000"/>
          <w:sz w:val="24"/>
          <w:szCs w:val="24"/>
        </w:rPr>
        <w:t>.</w:t>
      </w:r>
      <w:r w:rsidR="00871BEF" w:rsidRPr="0028268C">
        <w:rPr>
          <w:rFonts w:ascii="Arial" w:eastAsia="Arial" w:hAnsi="Arial" w:cs="Arial"/>
          <w:color w:val="000000"/>
          <w:sz w:val="24"/>
          <w:szCs w:val="24"/>
        </w:rPr>
        <w:t xml:space="preserve"> </w:t>
      </w:r>
      <w:r w:rsidR="00572297" w:rsidRPr="0028268C">
        <w:rPr>
          <w:rFonts w:ascii="Arial" w:eastAsia="Arial" w:hAnsi="Arial" w:cs="Arial"/>
          <w:color w:val="000000"/>
          <w:sz w:val="24"/>
          <w:szCs w:val="24"/>
        </w:rPr>
        <w:t xml:space="preserve"> </w:t>
      </w:r>
    </w:p>
    <w:p w14:paraId="1C98B881" w14:textId="3196EF9C" w:rsidR="00871BEF" w:rsidRPr="00962018" w:rsidRDefault="005C5265" w:rsidP="0038487E">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sidRPr="0028268C">
        <w:rPr>
          <w:rFonts w:ascii="Arial" w:eastAsia="Arial" w:hAnsi="Arial" w:cs="Arial"/>
          <w:color w:val="000000"/>
          <w:sz w:val="24"/>
          <w:szCs w:val="24"/>
        </w:rPr>
        <w:t>The</w:t>
      </w:r>
      <w:r w:rsidR="00871BEF" w:rsidRPr="0028268C">
        <w:rPr>
          <w:rFonts w:ascii="Arial" w:eastAsia="Arial" w:hAnsi="Arial" w:cs="Arial"/>
          <w:color w:val="000000"/>
          <w:sz w:val="24"/>
          <w:szCs w:val="24"/>
        </w:rPr>
        <w:t xml:space="preserve"> Supplier</w:t>
      </w:r>
      <w:r w:rsidR="00871BEF" w:rsidRPr="004A7418">
        <w:rPr>
          <w:rFonts w:ascii="Arial" w:eastAsia="Arial" w:hAnsi="Arial" w:cs="Arial"/>
          <w:color w:val="000000"/>
          <w:sz w:val="24"/>
          <w:szCs w:val="24"/>
        </w:rPr>
        <w:t xml:space="preserve"> may request a premium for </w:t>
      </w:r>
      <w:r w:rsidR="00FF5835" w:rsidRPr="004A7418">
        <w:rPr>
          <w:rFonts w:ascii="Arial" w:eastAsia="Arial" w:hAnsi="Arial" w:cs="Arial"/>
          <w:color w:val="000000"/>
          <w:sz w:val="24"/>
          <w:szCs w:val="24"/>
        </w:rPr>
        <w:t>Supplier Staff</w:t>
      </w:r>
      <w:r w:rsidR="00871BEF" w:rsidRPr="004A7418">
        <w:rPr>
          <w:rFonts w:ascii="Arial" w:eastAsia="Arial" w:hAnsi="Arial" w:cs="Arial"/>
          <w:color w:val="000000"/>
          <w:sz w:val="24"/>
          <w:szCs w:val="24"/>
        </w:rPr>
        <w:t xml:space="preserve"> to be on-call (see </w:t>
      </w:r>
      <w:r w:rsidR="0045378E" w:rsidRPr="004A7418">
        <w:rPr>
          <w:rFonts w:ascii="Arial" w:eastAsia="Arial" w:hAnsi="Arial" w:cs="Arial"/>
          <w:color w:val="000000"/>
          <w:sz w:val="24"/>
          <w:szCs w:val="24"/>
        </w:rPr>
        <w:t xml:space="preserve">table at paragraph </w:t>
      </w:r>
      <w:r w:rsidR="0045378E" w:rsidRPr="0028268C">
        <w:rPr>
          <w:rFonts w:ascii="Arial" w:eastAsia="Arial" w:hAnsi="Arial" w:cs="Arial"/>
          <w:color w:val="000000"/>
          <w:sz w:val="24"/>
          <w:szCs w:val="24"/>
        </w:rPr>
        <w:fldChar w:fldCharType="begin"/>
      </w:r>
      <w:r w:rsidR="0045378E" w:rsidRPr="0028268C">
        <w:rPr>
          <w:rFonts w:ascii="Arial" w:eastAsia="Arial" w:hAnsi="Arial" w:cs="Arial"/>
          <w:color w:val="000000"/>
          <w:sz w:val="24"/>
          <w:szCs w:val="24"/>
        </w:rPr>
        <w:instrText xml:space="preserve"> REF _Ref46226239 \r \h </w:instrText>
      </w:r>
      <w:r w:rsidR="0028268C" w:rsidRPr="005D31AA">
        <w:rPr>
          <w:rFonts w:ascii="Arial" w:eastAsia="Arial" w:hAnsi="Arial" w:cs="Arial"/>
          <w:color w:val="000000"/>
          <w:sz w:val="24"/>
          <w:szCs w:val="24"/>
        </w:rPr>
        <w:instrText xml:space="preserve"> \* MERGEFORMAT </w:instrText>
      </w:r>
      <w:r w:rsidR="0045378E" w:rsidRPr="0028268C">
        <w:rPr>
          <w:rFonts w:ascii="Arial" w:eastAsia="Arial" w:hAnsi="Arial" w:cs="Arial"/>
          <w:color w:val="000000"/>
          <w:sz w:val="24"/>
          <w:szCs w:val="24"/>
        </w:rPr>
      </w:r>
      <w:r w:rsidR="0045378E" w:rsidRPr="0028268C">
        <w:rPr>
          <w:rFonts w:ascii="Arial" w:eastAsia="Arial" w:hAnsi="Arial" w:cs="Arial"/>
          <w:color w:val="000000"/>
          <w:sz w:val="24"/>
          <w:szCs w:val="24"/>
        </w:rPr>
        <w:fldChar w:fldCharType="separate"/>
      </w:r>
      <w:r w:rsidR="00F70506" w:rsidRPr="0028268C">
        <w:rPr>
          <w:rFonts w:ascii="Arial" w:eastAsia="Arial" w:hAnsi="Arial" w:cs="Arial"/>
          <w:color w:val="000000"/>
          <w:sz w:val="24"/>
          <w:szCs w:val="24"/>
        </w:rPr>
        <w:t>7.13</w:t>
      </w:r>
      <w:r w:rsidR="0045378E" w:rsidRPr="0028268C">
        <w:rPr>
          <w:rFonts w:ascii="Arial" w:eastAsia="Arial" w:hAnsi="Arial" w:cs="Arial"/>
          <w:color w:val="000000"/>
          <w:sz w:val="24"/>
          <w:szCs w:val="24"/>
        </w:rPr>
        <w:fldChar w:fldCharType="end"/>
      </w:r>
      <w:r w:rsidR="00871BEF" w:rsidRPr="0028268C">
        <w:rPr>
          <w:rFonts w:ascii="Arial" w:eastAsia="Arial" w:hAnsi="Arial" w:cs="Arial"/>
          <w:color w:val="000000"/>
          <w:sz w:val="24"/>
          <w:szCs w:val="24"/>
        </w:rPr>
        <w:t xml:space="preserve"> below). </w:t>
      </w:r>
      <w:r w:rsidR="00CF48DA" w:rsidRPr="004D2957">
        <w:rPr>
          <w:rFonts w:ascii="Arial" w:eastAsia="Arial" w:hAnsi="Arial" w:cs="Arial"/>
          <w:color w:val="000000"/>
          <w:sz w:val="24"/>
          <w:szCs w:val="24"/>
        </w:rPr>
        <w:t>F</w:t>
      </w:r>
      <w:r w:rsidR="0045378E" w:rsidRPr="004D2957">
        <w:rPr>
          <w:rFonts w:ascii="Arial" w:eastAsia="Arial" w:hAnsi="Arial" w:cs="Arial"/>
          <w:color w:val="000000"/>
          <w:sz w:val="24"/>
          <w:szCs w:val="24"/>
        </w:rPr>
        <w:t>or the purposes of this Call-Off Contract</w:t>
      </w:r>
      <w:r w:rsidR="00871BEF" w:rsidRPr="004A7418">
        <w:rPr>
          <w:rFonts w:ascii="Arial" w:eastAsia="Arial" w:hAnsi="Arial" w:cs="Arial"/>
          <w:color w:val="000000"/>
          <w:sz w:val="24"/>
          <w:szCs w:val="24"/>
        </w:rPr>
        <w:t xml:space="preserve"> it will be based on a single percentage of </w:t>
      </w:r>
      <w:r w:rsidR="00785E83" w:rsidRPr="004A7418">
        <w:rPr>
          <w:rFonts w:ascii="Arial" w:eastAsia="Arial" w:hAnsi="Arial" w:cs="Arial"/>
          <w:color w:val="000000"/>
          <w:sz w:val="24"/>
          <w:szCs w:val="24"/>
        </w:rPr>
        <w:t>[</w:t>
      </w:r>
      <w:r w:rsidR="00871BEF" w:rsidRPr="001523C3">
        <w:rPr>
          <w:rFonts w:ascii="Arial" w:eastAsia="Arial" w:hAnsi="Arial" w:cs="Arial"/>
          <w:color w:val="000000"/>
          <w:sz w:val="24"/>
          <w:szCs w:val="24"/>
          <w:highlight w:val="yellow"/>
        </w:rPr>
        <w:t>6</w:t>
      </w:r>
      <w:r w:rsidR="00785E83" w:rsidRPr="004A7418">
        <w:rPr>
          <w:rFonts w:ascii="Arial" w:eastAsia="Arial" w:hAnsi="Arial" w:cs="Arial"/>
          <w:color w:val="000000"/>
          <w:sz w:val="24"/>
          <w:szCs w:val="24"/>
        </w:rPr>
        <w:t>]</w:t>
      </w:r>
      <w:r w:rsidR="00871BEF" w:rsidRPr="004A7418">
        <w:rPr>
          <w:rFonts w:ascii="Arial" w:eastAsia="Arial" w:hAnsi="Arial" w:cs="Arial"/>
          <w:color w:val="000000"/>
          <w:sz w:val="24"/>
          <w:szCs w:val="24"/>
        </w:rPr>
        <w:t xml:space="preserve"> percent, regardless of frequency.</w:t>
      </w:r>
    </w:p>
    <w:p w14:paraId="29EAEAC1" w14:textId="28C1AE1A" w:rsidR="00871BEF" w:rsidRDefault="00DF5B14" w:rsidP="0038487E">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 xml:space="preserve">Subject to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_Ref47041360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D74440">
        <w:rPr>
          <w:rFonts w:ascii="Arial" w:eastAsia="Arial" w:hAnsi="Arial" w:cs="Arial"/>
          <w:color w:val="000000"/>
          <w:sz w:val="24"/>
          <w:szCs w:val="24"/>
        </w:rPr>
        <w:t>7.12</w:t>
      </w:r>
      <w:r>
        <w:rPr>
          <w:rFonts w:ascii="Arial" w:eastAsia="Arial" w:hAnsi="Arial" w:cs="Arial"/>
          <w:color w:val="000000"/>
          <w:sz w:val="24"/>
          <w:szCs w:val="24"/>
        </w:rPr>
        <w:fldChar w:fldCharType="end"/>
      </w:r>
      <w:r>
        <w:rPr>
          <w:rFonts w:ascii="Arial" w:eastAsia="Arial" w:hAnsi="Arial" w:cs="Arial"/>
          <w:color w:val="000000"/>
          <w:sz w:val="24"/>
          <w:szCs w:val="24"/>
        </w:rPr>
        <w:t>, t</w:t>
      </w:r>
      <w:r w:rsidR="005C5265">
        <w:rPr>
          <w:rFonts w:ascii="Arial" w:eastAsia="Arial" w:hAnsi="Arial" w:cs="Arial"/>
          <w:color w:val="000000"/>
          <w:sz w:val="24"/>
          <w:szCs w:val="24"/>
        </w:rPr>
        <w:t xml:space="preserve">he </w:t>
      </w:r>
      <w:r w:rsidR="00871BEF">
        <w:rPr>
          <w:rFonts w:ascii="Arial" w:eastAsia="Arial" w:hAnsi="Arial" w:cs="Arial"/>
          <w:color w:val="000000"/>
          <w:sz w:val="24"/>
          <w:szCs w:val="24"/>
        </w:rPr>
        <w:t>Supplier may also charge for individual call-outs on the following basis</w:t>
      </w:r>
      <w:r w:rsidR="004643E8">
        <w:rPr>
          <w:rFonts w:ascii="Arial" w:eastAsia="Arial" w:hAnsi="Arial" w:cs="Arial"/>
          <w:color w:val="000000"/>
          <w:sz w:val="24"/>
          <w:szCs w:val="24"/>
        </w:rPr>
        <w:t>, as set out in Annex 1</w:t>
      </w:r>
      <w:r w:rsidR="00871BEF">
        <w:rPr>
          <w:rFonts w:ascii="Arial" w:eastAsia="Arial" w:hAnsi="Arial" w:cs="Arial"/>
          <w:color w:val="000000"/>
          <w:sz w:val="24"/>
          <w:szCs w:val="24"/>
        </w:rPr>
        <w:t>:</w:t>
      </w:r>
    </w:p>
    <w:p w14:paraId="343CC94D" w14:textId="17400C55" w:rsidR="00871BEF" w:rsidRPr="006F63C7" w:rsidRDefault="0045378E" w:rsidP="0038487E">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f</w:t>
      </w:r>
      <w:r w:rsidR="00871BEF" w:rsidRPr="006F63C7">
        <w:rPr>
          <w:rFonts w:ascii="Arial" w:eastAsia="Arial" w:hAnsi="Arial" w:cs="Arial"/>
          <w:color w:val="000000"/>
          <w:sz w:val="24"/>
          <w:szCs w:val="24"/>
        </w:rPr>
        <w:t xml:space="preserve">or call-outs during normal working hours (for this purpose deemed to be between 8am and 6pm during </w:t>
      </w:r>
      <w:r w:rsidR="00FB37F6">
        <w:rPr>
          <w:rFonts w:ascii="Arial" w:eastAsia="Arial" w:hAnsi="Arial" w:cs="Arial"/>
          <w:color w:val="000000"/>
          <w:sz w:val="24"/>
          <w:szCs w:val="24"/>
        </w:rPr>
        <w:t>a Working Day</w:t>
      </w:r>
      <w:r w:rsidR="00871BEF" w:rsidRPr="00962018">
        <w:rPr>
          <w:rFonts w:ascii="Arial" w:eastAsia="Arial" w:hAnsi="Arial" w:cs="Arial"/>
          <w:color w:val="000000"/>
          <w:sz w:val="24"/>
          <w:szCs w:val="24"/>
        </w:rPr>
        <w:t>);</w:t>
      </w:r>
    </w:p>
    <w:p w14:paraId="1B036AFD" w14:textId="41B13BBD" w:rsidR="00871BEF" w:rsidRPr="006F63C7" w:rsidRDefault="0045378E" w:rsidP="0038487E">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bookmarkStart w:id="4" w:name="_Ref46226064"/>
      <w:r>
        <w:rPr>
          <w:rFonts w:ascii="Arial" w:eastAsia="Arial" w:hAnsi="Arial" w:cs="Arial"/>
          <w:color w:val="000000"/>
          <w:sz w:val="24"/>
          <w:szCs w:val="24"/>
        </w:rPr>
        <w:t>f</w:t>
      </w:r>
      <w:r w:rsidR="00871BEF" w:rsidRPr="006F63C7">
        <w:rPr>
          <w:rFonts w:ascii="Arial" w:eastAsia="Arial" w:hAnsi="Arial" w:cs="Arial"/>
          <w:color w:val="000000"/>
          <w:sz w:val="24"/>
          <w:szCs w:val="24"/>
        </w:rPr>
        <w:t>or call-outs between 6am and 8am and 6pm and 8pm</w:t>
      </w:r>
      <w:r w:rsidR="00FB37F6">
        <w:rPr>
          <w:rFonts w:ascii="Arial" w:eastAsia="Arial" w:hAnsi="Arial" w:cs="Arial"/>
          <w:color w:val="000000"/>
          <w:sz w:val="24"/>
          <w:szCs w:val="24"/>
        </w:rPr>
        <w:t xml:space="preserve"> on a Working Day</w:t>
      </w:r>
      <w:r w:rsidR="00871BEF" w:rsidRPr="006F63C7">
        <w:rPr>
          <w:rFonts w:ascii="Arial" w:eastAsia="Arial" w:hAnsi="Arial" w:cs="Arial"/>
          <w:color w:val="000000"/>
          <w:sz w:val="24"/>
          <w:szCs w:val="24"/>
        </w:rPr>
        <w:t xml:space="preserve"> (social hours) charges shall be based on the basis of a minimum assumed single call-out duration of 30 minutes rounded up to the nearest 30 minutes thereafter (depending on duration of call-out</w:t>
      </w:r>
      <w:bookmarkEnd w:id="4"/>
      <w:r w:rsidR="00871BEF" w:rsidRPr="006F63C7">
        <w:rPr>
          <w:rFonts w:ascii="Arial" w:eastAsia="Arial" w:hAnsi="Arial" w:cs="Arial"/>
          <w:color w:val="000000"/>
          <w:sz w:val="24"/>
          <w:szCs w:val="24"/>
        </w:rPr>
        <w:t>);</w:t>
      </w:r>
    </w:p>
    <w:p w14:paraId="6D2C217B" w14:textId="540726DC" w:rsidR="00871BEF" w:rsidRPr="006F63C7" w:rsidRDefault="0045378E" w:rsidP="0038487E">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f</w:t>
      </w:r>
      <w:r w:rsidR="00871BEF" w:rsidRPr="006F63C7">
        <w:rPr>
          <w:rFonts w:ascii="Arial" w:eastAsia="Arial" w:hAnsi="Arial" w:cs="Arial"/>
          <w:color w:val="000000"/>
          <w:sz w:val="24"/>
          <w:szCs w:val="24"/>
        </w:rPr>
        <w:t xml:space="preserve">or call-outs within unsocial hours, the basis of calculating hours shall be as </w:t>
      </w:r>
      <w:r>
        <w:rPr>
          <w:rFonts w:ascii="Arial" w:eastAsia="Arial" w:hAnsi="Arial" w:cs="Arial"/>
          <w:color w:val="000000"/>
          <w:sz w:val="24"/>
          <w:szCs w:val="24"/>
        </w:rPr>
        <w:t xml:space="preserve">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_Ref46226064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F70506">
        <w:rPr>
          <w:rFonts w:ascii="Arial" w:eastAsia="Arial" w:hAnsi="Arial" w:cs="Arial"/>
          <w:color w:val="000000"/>
          <w:sz w:val="24"/>
          <w:szCs w:val="24"/>
        </w:rPr>
        <w:t>7.11.2</w:t>
      </w:r>
      <w:r>
        <w:rPr>
          <w:rFonts w:ascii="Arial" w:eastAsia="Arial" w:hAnsi="Arial" w:cs="Arial"/>
          <w:color w:val="000000"/>
          <w:sz w:val="24"/>
          <w:szCs w:val="24"/>
        </w:rPr>
        <w:fldChar w:fldCharType="end"/>
      </w:r>
      <w:r w:rsidR="00871BEF" w:rsidRPr="006F63C7">
        <w:rPr>
          <w:rFonts w:ascii="Arial" w:eastAsia="Arial" w:hAnsi="Arial" w:cs="Arial"/>
          <w:color w:val="000000"/>
          <w:sz w:val="24"/>
          <w:szCs w:val="24"/>
        </w:rPr>
        <w:t xml:space="preserve"> above, but appropriate unsocial hours premiums shall apply</w:t>
      </w:r>
      <w:r w:rsidR="00FB37F6">
        <w:rPr>
          <w:rFonts w:ascii="Arial" w:eastAsia="Arial" w:hAnsi="Arial" w:cs="Arial"/>
          <w:color w:val="000000"/>
          <w:sz w:val="24"/>
          <w:szCs w:val="24"/>
        </w:rPr>
        <w:t xml:space="preserve"> (see Annex 1)</w:t>
      </w:r>
      <w:r>
        <w:rPr>
          <w:rFonts w:ascii="Arial" w:eastAsia="Arial" w:hAnsi="Arial" w:cs="Arial"/>
          <w:color w:val="000000"/>
          <w:sz w:val="24"/>
          <w:szCs w:val="24"/>
        </w:rPr>
        <w:t>;</w:t>
      </w:r>
    </w:p>
    <w:p w14:paraId="510D6704" w14:textId="0F25C7CA" w:rsidR="00871BEF" w:rsidRPr="006F63C7" w:rsidRDefault="0045378E" w:rsidP="0038487E">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i</w:t>
      </w:r>
      <w:r w:rsidR="00871BEF" w:rsidRPr="006F63C7">
        <w:rPr>
          <w:rFonts w:ascii="Arial" w:eastAsia="Arial" w:hAnsi="Arial" w:cs="Arial"/>
          <w:color w:val="000000"/>
          <w:sz w:val="24"/>
          <w:szCs w:val="24"/>
        </w:rPr>
        <w:t xml:space="preserve">n the event that a call-out spans into, or out of, </w:t>
      </w:r>
      <w:r w:rsidR="00FB37F6">
        <w:rPr>
          <w:rFonts w:ascii="Arial" w:eastAsia="Arial" w:hAnsi="Arial" w:cs="Arial"/>
          <w:color w:val="000000"/>
          <w:sz w:val="24"/>
          <w:szCs w:val="24"/>
        </w:rPr>
        <w:t>social or unsocial hours</w:t>
      </w:r>
      <w:r w:rsidR="00871BEF" w:rsidRPr="006F63C7">
        <w:rPr>
          <w:rFonts w:ascii="Arial" w:eastAsia="Arial" w:hAnsi="Arial" w:cs="Arial"/>
          <w:color w:val="000000"/>
          <w:sz w:val="24"/>
          <w:szCs w:val="24"/>
        </w:rPr>
        <w:t xml:space="preserve">, provided </w:t>
      </w:r>
      <w:r w:rsidR="00FB37F6">
        <w:rPr>
          <w:rFonts w:ascii="Arial" w:eastAsia="Arial" w:hAnsi="Arial" w:cs="Arial"/>
          <w:color w:val="000000"/>
          <w:sz w:val="24"/>
          <w:szCs w:val="24"/>
        </w:rPr>
        <w:t xml:space="preserve"> that the overlap is </w:t>
      </w:r>
      <w:r w:rsidR="00871BEF" w:rsidRPr="006F63C7">
        <w:rPr>
          <w:rFonts w:ascii="Arial" w:eastAsia="Arial" w:hAnsi="Arial" w:cs="Arial"/>
          <w:color w:val="000000"/>
          <w:sz w:val="24"/>
          <w:szCs w:val="24"/>
        </w:rPr>
        <w:t>no more than one hour into the different charging regime, the charging regime applicable to when the call-out started shall apply</w:t>
      </w:r>
      <w:r>
        <w:rPr>
          <w:rFonts w:ascii="Arial" w:eastAsia="Arial" w:hAnsi="Arial" w:cs="Arial"/>
          <w:color w:val="000000"/>
          <w:sz w:val="24"/>
          <w:szCs w:val="24"/>
        </w:rPr>
        <w:t>; and</w:t>
      </w:r>
    </w:p>
    <w:p w14:paraId="0A35DDB2" w14:textId="376E389F" w:rsidR="00871BEF" w:rsidRPr="00F3209B" w:rsidRDefault="0045378E" w:rsidP="0038487E">
      <w:pPr>
        <w:widowControl w:val="0"/>
        <w:numPr>
          <w:ilvl w:val="2"/>
          <w:numId w:val="89"/>
        </w:numPr>
        <w:pBdr>
          <w:top w:val="nil"/>
          <w:left w:val="nil"/>
          <w:bottom w:val="nil"/>
          <w:right w:val="nil"/>
          <w:between w:val="nil"/>
        </w:pBdr>
        <w:tabs>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Pr>
          <w:rFonts w:ascii="Arial" w:eastAsia="Arial" w:hAnsi="Arial" w:cs="Arial"/>
          <w:color w:val="000000"/>
          <w:sz w:val="24"/>
          <w:szCs w:val="24"/>
        </w:rPr>
        <w:t>w</w:t>
      </w:r>
      <w:r w:rsidR="00871BEF" w:rsidRPr="00F3209B">
        <w:rPr>
          <w:rFonts w:ascii="Arial" w:eastAsia="Arial" w:hAnsi="Arial" w:cs="Arial"/>
          <w:color w:val="000000"/>
          <w:sz w:val="24"/>
          <w:szCs w:val="24"/>
        </w:rPr>
        <w:t>here the span</w:t>
      </w:r>
      <w:r w:rsidR="00FB37F6">
        <w:rPr>
          <w:rFonts w:ascii="Arial" w:eastAsia="Arial" w:hAnsi="Arial" w:cs="Arial"/>
          <w:color w:val="000000"/>
          <w:sz w:val="24"/>
          <w:szCs w:val="24"/>
        </w:rPr>
        <w:t xml:space="preserve"> of overlap between social and unsocial hours for an </w:t>
      </w:r>
      <w:r w:rsidR="00FB37F6">
        <w:rPr>
          <w:rFonts w:ascii="Arial" w:eastAsia="Arial" w:hAnsi="Arial" w:cs="Arial"/>
          <w:color w:val="000000"/>
          <w:sz w:val="24"/>
          <w:szCs w:val="24"/>
        </w:rPr>
        <w:lastRenderedPageBreak/>
        <w:t>individual call-out</w:t>
      </w:r>
      <w:r w:rsidR="00871BEF" w:rsidRPr="00F3209B">
        <w:rPr>
          <w:rFonts w:ascii="Arial" w:eastAsia="Arial" w:hAnsi="Arial" w:cs="Arial"/>
          <w:color w:val="000000"/>
          <w:sz w:val="24"/>
          <w:szCs w:val="24"/>
        </w:rPr>
        <w:t xml:space="preserve"> is more than one hour, separate charges shall apply to each </w:t>
      </w:r>
      <w:r w:rsidR="00FB37F6">
        <w:rPr>
          <w:rFonts w:ascii="Arial" w:eastAsia="Arial" w:hAnsi="Arial" w:cs="Arial"/>
          <w:color w:val="000000"/>
          <w:sz w:val="24"/>
          <w:szCs w:val="24"/>
        </w:rPr>
        <w:t>period</w:t>
      </w:r>
      <w:r w:rsidR="00FB37F6" w:rsidRPr="00F3209B">
        <w:rPr>
          <w:rFonts w:ascii="Arial" w:eastAsia="Arial" w:hAnsi="Arial" w:cs="Arial"/>
          <w:color w:val="000000"/>
          <w:sz w:val="24"/>
          <w:szCs w:val="24"/>
        </w:rPr>
        <w:t xml:space="preserve"> </w:t>
      </w:r>
      <w:r w:rsidR="00871BEF" w:rsidRPr="00F3209B">
        <w:rPr>
          <w:rFonts w:ascii="Arial" w:eastAsia="Arial" w:hAnsi="Arial" w:cs="Arial"/>
          <w:color w:val="000000"/>
          <w:sz w:val="24"/>
          <w:szCs w:val="24"/>
        </w:rPr>
        <w:t>(but following the principles documented above).</w:t>
      </w:r>
    </w:p>
    <w:p w14:paraId="4F86B5F4" w14:textId="52BF2572" w:rsidR="00871BEF" w:rsidRDefault="00871BEF" w:rsidP="0038487E">
      <w:pPr>
        <w:widowControl w:val="0"/>
        <w:numPr>
          <w:ilvl w:val="1"/>
          <w:numId w:val="89"/>
        </w:numPr>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bookmarkStart w:id="5" w:name="_Ref47041360"/>
      <w:r>
        <w:rPr>
          <w:rFonts w:ascii="Arial" w:eastAsia="Arial" w:hAnsi="Arial" w:cs="Arial"/>
          <w:color w:val="000000"/>
          <w:sz w:val="24"/>
          <w:szCs w:val="24"/>
        </w:rPr>
        <w:t xml:space="preserve">For on-call or call-out charges to be applicable, the individual to whom those </w:t>
      </w:r>
      <w:r w:rsidR="00997E67">
        <w:rPr>
          <w:rFonts w:ascii="Arial" w:eastAsia="Arial" w:hAnsi="Arial" w:cs="Arial"/>
          <w:color w:val="000000"/>
          <w:sz w:val="24"/>
          <w:szCs w:val="24"/>
        </w:rPr>
        <w:t>C</w:t>
      </w:r>
      <w:r>
        <w:rPr>
          <w:rFonts w:ascii="Arial" w:eastAsia="Arial" w:hAnsi="Arial" w:cs="Arial"/>
          <w:color w:val="000000"/>
          <w:sz w:val="24"/>
          <w:szCs w:val="24"/>
        </w:rPr>
        <w:t>harges relate must be on an agreed on-call rota as approved by the Buyer</w:t>
      </w:r>
      <w:r w:rsidR="00997E67">
        <w:rPr>
          <w:rFonts w:ascii="Arial" w:eastAsia="Arial" w:hAnsi="Arial" w:cs="Arial"/>
          <w:color w:val="000000"/>
          <w:sz w:val="24"/>
          <w:szCs w:val="24"/>
        </w:rPr>
        <w:t xml:space="preserve"> in advance</w:t>
      </w:r>
      <w:r>
        <w:rPr>
          <w:rFonts w:ascii="Arial" w:eastAsia="Arial" w:hAnsi="Arial" w:cs="Arial"/>
          <w:color w:val="000000"/>
          <w:sz w:val="24"/>
          <w:szCs w:val="24"/>
        </w:rPr>
        <w:t>.</w:t>
      </w:r>
      <w:bookmarkEnd w:id="5"/>
    </w:p>
    <w:p w14:paraId="3A9184EC" w14:textId="77777777" w:rsidR="00562D87" w:rsidRPr="004D2957" w:rsidRDefault="00562D87" w:rsidP="004D2957">
      <w:pPr>
        <w:widowControl w:val="0"/>
        <w:pBdr>
          <w:top w:val="nil"/>
          <w:left w:val="nil"/>
          <w:bottom w:val="nil"/>
          <w:right w:val="nil"/>
          <w:between w:val="nil"/>
        </w:pBdr>
        <w:tabs>
          <w:tab w:val="left" w:pos="1985"/>
          <w:tab w:val="left" w:pos="2127"/>
        </w:tabs>
        <w:overflowPunct/>
        <w:autoSpaceDE/>
        <w:autoSpaceDN/>
        <w:adjustRightInd/>
        <w:spacing w:before="120" w:after="120" w:line="240" w:lineRule="auto"/>
        <w:jc w:val="left"/>
        <w:textAlignment w:val="auto"/>
        <w:rPr>
          <w:rFonts w:ascii="Arial" w:eastAsia="Arial" w:hAnsi="Arial" w:cs="Arial"/>
          <w:color w:val="000000"/>
          <w:sz w:val="24"/>
          <w:szCs w:val="24"/>
        </w:rPr>
      </w:pPr>
      <w:r w:rsidRPr="004D2957">
        <w:rPr>
          <w:rFonts w:ascii="Arial" w:eastAsia="Arial" w:hAnsi="Arial" w:cs="Arial"/>
          <w:b/>
          <w:bCs/>
        </w:rPr>
        <w:t>Overtime, Unsocial Hours and On-Call Pricing</w:t>
      </w:r>
    </w:p>
    <w:p w14:paraId="59600AE9" w14:textId="51B9ABF7" w:rsidR="00B66C41" w:rsidRDefault="00B66C41" w:rsidP="0038487E">
      <w:pPr>
        <w:widowControl w:val="0"/>
        <w:numPr>
          <w:ilvl w:val="1"/>
          <w:numId w:val="89"/>
        </w:numPr>
        <w:pBdr>
          <w:top w:val="nil"/>
          <w:left w:val="nil"/>
          <w:bottom w:val="nil"/>
          <w:right w:val="nil"/>
          <w:between w:val="nil"/>
        </w:pBdr>
        <w:tabs>
          <w:tab w:val="left" w:pos="709"/>
        </w:tabs>
        <w:overflowPunct/>
        <w:autoSpaceDE/>
        <w:autoSpaceDN/>
        <w:adjustRightInd/>
        <w:spacing w:before="120" w:after="120" w:line="240" w:lineRule="auto"/>
        <w:jc w:val="left"/>
        <w:textAlignment w:val="auto"/>
        <w:rPr>
          <w:rFonts w:ascii="Arial" w:eastAsia="Arial" w:hAnsi="Arial" w:cs="Arial"/>
          <w:color w:val="000000"/>
          <w:sz w:val="24"/>
          <w:szCs w:val="24"/>
        </w:rPr>
      </w:pPr>
      <w:bookmarkStart w:id="6" w:name="_Ref46226239"/>
      <w:r>
        <w:rPr>
          <w:rFonts w:ascii="Arial" w:eastAsia="Arial" w:hAnsi="Arial" w:cs="Arial"/>
          <w:color w:val="000000"/>
          <w:sz w:val="24"/>
          <w:szCs w:val="24"/>
        </w:rPr>
        <w:t xml:space="preserve">The additional Charges applicable for agreed overtime, </w:t>
      </w:r>
      <w:r w:rsidR="009D7DAE">
        <w:rPr>
          <w:rFonts w:ascii="Arial" w:eastAsia="Arial" w:hAnsi="Arial" w:cs="Arial"/>
          <w:color w:val="000000"/>
          <w:sz w:val="24"/>
          <w:szCs w:val="24"/>
        </w:rPr>
        <w:t>u</w:t>
      </w:r>
      <w:r w:rsidR="004643E8">
        <w:rPr>
          <w:rFonts w:ascii="Arial" w:eastAsia="Arial" w:hAnsi="Arial" w:cs="Arial"/>
          <w:color w:val="000000"/>
          <w:sz w:val="24"/>
          <w:szCs w:val="24"/>
        </w:rPr>
        <w:t>nsocial hou</w:t>
      </w:r>
      <w:r w:rsidR="007027A9">
        <w:rPr>
          <w:rFonts w:ascii="Arial" w:eastAsia="Arial" w:hAnsi="Arial" w:cs="Arial"/>
          <w:color w:val="000000"/>
          <w:sz w:val="24"/>
          <w:szCs w:val="24"/>
        </w:rPr>
        <w:t>r</w:t>
      </w:r>
      <w:r w:rsidR="004643E8">
        <w:rPr>
          <w:rFonts w:ascii="Arial" w:eastAsia="Arial" w:hAnsi="Arial" w:cs="Arial"/>
          <w:color w:val="000000"/>
          <w:sz w:val="24"/>
          <w:szCs w:val="24"/>
        </w:rPr>
        <w:t>s working and on call pricing are set out in Annex 1.</w:t>
      </w:r>
    </w:p>
    <w:p w14:paraId="2BB8A5A7" w14:textId="09079A81" w:rsidR="00541B41" w:rsidRPr="00E8102F" w:rsidRDefault="00541B41" w:rsidP="0038487E">
      <w:pPr>
        <w:pStyle w:val="ListParagraph"/>
        <w:widowControl w:val="0"/>
        <w:numPr>
          <w:ilvl w:val="0"/>
          <w:numId w:val="89"/>
        </w:numPr>
        <w:overflowPunct/>
        <w:autoSpaceDE/>
        <w:autoSpaceDN/>
        <w:adjustRightInd/>
        <w:spacing w:before="120" w:after="120" w:line="276" w:lineRule="auto"/>
        <w:ind w:left="431" w:hanging="431"/>
        <w:jc w:val="left"/>
        <w:textAlignment w:val="auto"/>
        <w:rPr>
          <w:rFonts w:ascii="Arial" w:eastAsia="Calibri" w:hAnsi="Arial" w:cs="Arial"/>
          <w:b/>
          <w:bCs/>
          <w:sz w:val="24"/>
          <w:szCs w:val="24"/>
        </w:rPr>
      </w:pPr>
      <w:bookmarkStart w:id="7" w:name="_Ref45794985"/>
      <w:bookmarkEnd w:id="1"/>
      <w:bookmarkEnd w:id="6"/>
      <w:r w:rsidRPr="00E8102F">
        <w:rPr>
          <w:rFonts w:ascii="Arial" w:eastAsia="Calibri" w:hAnsi="Arial" w:cs="Arial"/>
          <w:b/>
          <w:bCs/>
          <w:sz w:val="24"/>
          <w:szCs w:val="24"/>
        </w:rPr>
        <w:t>Buyer’s Expenses Policy</w:t>
      </w:r>
      <w:bookmarkEnd w:id="7"/>
    </w:p>
    <w:p w14:paraId="1EA2AE78" w14:textId="0C94FD8F" w:rsidR="007B0BFE" w:rsidRDefault="007B0BFE" w:rsidP="0038487E">
      <w:pPr>
        <w:widowControl w:val="0"/>
        <w:overflowPunct/>
        <w:autoSpaceDE/>
        <w:autoSpaceDN/>
        <w:adjustRightInd/>
        <w:spacing w:after="200" w:line="276" w:lineRule="auto"/>
        <w:jc w:val="left"/>
        <w:textAlignment w:val="auto"/>
        <w:rPr>
          <w:rFonts w:ascii="Arial" w:eastAsia="Calibri" w:hAnsi="Arial" w:cs="Arial"/>
          <w:sz w:val="24"/>
          <w:szCs w:val="22"/>
        </w:rPr>
      </w:pPr>
      <w:r>
        <w:rPr>
          <w:rFonts w:ascii="Arial" w:eastAsia="Calibri" w:hAnsi="Arial" w:cs="Arial"/>
          <w:sz w:val="24"/>
          <w:szCs w:val="22"/>
        </w:rPr>
        <w:t xml:space="preserve">The Supplier shall not be entitled to charge </w:t>
      </w:r>
      <w:r w:rsidR="00443D3D">
        <w:rPr>
          <w:rFonts w:ascii="Arial" w:eastAsia="Calibri" w:hAnsi="Arial" w:cs="Arial"/>
          <w:sz w:val="24"/>
          <w:szCs w:val="22"/>
        </w:rPr>
        <w:t xml:space="preserve">any </w:t>
      </w:r>
      <w:r>
        <w:rPr>
          <w:rFonts w:ascii="Arial" w:eastAsia="Calibri" w:hAnsi="Arial" w:cs="Arial"/>
          <w:sz w:val="24"/>
          <w:szCs w:val="22"/>
        </w:rPr>
        <w:t xml:space="preserve">expenses where the pricing </w:t>
      </w:r>
      <w:r w:rsidR="000F42F9">
        <w:rPr>
          <w:rFonts w:ascii="Arial" w:eastAsia="Calibri" w:hAnsi="Arial" w:cs="Arial"/>
          <w:sz w:val="24"/>
          <w:szCs w:val="22"/>
        </w:rPr>
        <w:t xml:space="preserve">mechanism </w:t>
      </w:r>
      <w:r w:rsidR="005C2E77">
        <w:rPr>
          <w:rFonts w:ascii="Arial" w:eastAsia="Calibri" w:hAnsi="Arial" w:cs="Arial"/>
          <w:sz w:val="24"/>
          <w:szCs w:val="22"/>
        </w:rPr>
        <w:t xml:space="preserve">used under a Statement of Work </w:t>
      </w:r>
      <w:r w:rsidR="00443D3D">
        <w:rPr>
          <w:rFonts w:ascii="Arial" w:eastAsia="Calibri" w:hAnsi="Arial" w:cs="Arial"/>
          <w:sz w:val="24"/>
          <w:szCs w:val="22"/>
        </w:rPr>
        <w:t>is Fixed Price or Incremental Fixed Price.</w:t>
      </w:r>
    </w:p>
    <w:p w14:paraId="3B70C7E5" w14:textId="4CF2EE09" w:rsidR="007A30DE" w:rsidRDefault="00AC0587" w:rsidP="0038487E">
      <w:pPr>
        <w:widowControl w:val="0"/>
        <w:overflowPunct/>
        <w:autoSpaceDE/>
        <w:autoSpaceDN/>
        <w:adjustRightInd/>
        <w:spacing w:after="200" w:line="276" w:lineRule="auto"/>
        <w:jc w:val="left"/>
        <w:textAlignment w:val="auto"/>
        <w:rPr>
          <w:rFonts w:ascii="Arial" w:eastAsia="Calibri" w:hAnsi="Arial" w:cs="Arial"/>
          <w:sz w:val="24"/>
          <w:szCs w:val="22"/>
        </w:rPr>
      </w:pPr>
      <w:r w:rsidRPr="005960EE">
        <w:rPr>
          <w:rFonts w:ascii="Arial" w:eastAsia="Calibri" w:hAnsi="Arial" w:cs="Arial"/>
          <w:sz w:val="24"/>
          <w:szCs w:val="22"/>
        </w:rPr>
        <w:t xml:space="preserve">The </w:t>
      </w:r>
      <w:r w:rsidR="00D104B7" w:rsidRPr="005960EE">
        <w:rPr>
          <w:rFonts w:ascii="Arial" w:eastAsia="Calibri" w:hAnsi="Arial" w:cs="Arial"/>
          <w:sz w:val="24"/>
          <w:szCs w:val="22"/>
        </w:rPr>
        <w:t>Supplier shall</w:t>
      </w:r>
      <w:r w:rsidR="00F177E8">
        <w:rPr>
          <w:rFonts w:ascii="Arial" w:eastAsia="Calibri" w:hAnsi="Arial" w:cs="Arial"/>
          <w:sz w:val="24"/>
          <w:szCs w:val="22"/>
        </w:rPr>
        <w:t xml:space="preserve"> not </w:t>
      </w:r>
      <w:r w:rsidR="00D104B7" w:rsidRPr="005960EE">
        <w:rPr>
          <w:rFonts w:ascii="Arial" w:eastAsia="Calibri" w:hAnsi="Arial" w:cs="Arial"/>
          <w:sz w:val="24"/>
          <w:szCs w:val="22"/>
        </w:rPr>
        <w:t xml:space="preserve">be entitled to </w:t>
      </w:r>
      <w:r w:rsidR="00F177E8">
        <w:rPr>
          <w:rFonts w:ascii="Arial" w:eastAsia="Calibri" w:hAnsi="Arial" w:cs="Arial"/>
          <w:sz w:val="24"/>
          <w:szCs w:val="22"/>
        </w:rPr>
        <w:t>charge expenses</w:t>
      </w:r>
      <w:r w:rsidR="007A30DE">
        <w:rPr>
          <w:rFonts w:ascii="Arial" w:eastAsia="Calibri" w:hAnsi="Arial" w:cs="Arial"/>
          <w:sz w:val="24"/>
          <w:szCs w:val="22"/>
        </w:rPr>
        <w:t>,</w:t>
      </w:r>
      <w:r w:rsidR="00F177E8">
        <w:rPr>
          <w:rFonts w:ascii="Arial" w:eastAsia="Calibri" w:hAnsi="Arial" w:cs="Arial"/>
          <w:sz w:val="24"/>
          <w:szCs w:val="22"/>
        </w:rPr>
        <w:t xml:space="preserve"> save where these are explicitly agreed </w:t>
      </w:r>
      <w:r w:rsidR="007A30DE">
        <w:rPr>
          <w:rFonts w:ascii="Arial" w:eastAsia="Calibri" w:hAnsi="Arial" w:cs="Arial"/>
          <w:sz w:val="24"/>
          <w:szCs w:val="22"/>
        </w:rPr>
        <w:t xml:space="preserve">to be chargeable </w:t>
      </w:r>
      <w:r w:rsidR="00F177E8">
        <w:rPr>
          <w:rFonts w:ascii="Arial" w:eastAsia="Calibri" w:hAnsi="Arial" w:cs="Arial"/>
          <w:sz w:val="24"/>
          <w:szCs w:val="22"/>
        </w:rPr>
        <w:t xml:space="preserve">in the </w:t>
      </w:r>
      <w:r w:rsidR="00836FB9">
        <w:rPr>
          <w:rFonts w:ascii="Arial" w:eastAsia="Calibri" w:hAnsi="Arial" w:cs="Arial"/>
          <w:sz w:val="24"/>
          <w:szCs w:val="22"/>
        </w:rPr>
        <w:t>SoW</w:t>
      </w:r>
      <w:r w:rsidR="007A30DE">
        <w:rPr>
          <w:rFonts w:ascii="Arial" w:eastAsia="Calibri" w:hAnsi="Arial" w:cs="Arial"/>
          <w:sz w:val="24"/>
          <w:szCs w:val="22"/>
        </w:rPr>
        <w:t xml:space="preserve">, where these are </w:t>
      </w:r>
      <w:r w:rsidR="006C28F7">
        <w:rPr>
          <w:rFonts w:ascii="Arial" w:eastAsia="Calibri" w:hAnsi="Arial" w:cs="Arial"/>
          <w:sz w:val="24"/>
          <w:szCs w:val="22"/>
        </w:rPr>
        <w:t xml:space="preserve">reasonably incurred and </w:t>
      </w:r>
      <w:r w:rsidR="007A30DE">
        <w:rPr>
          <w:rFonts w:ascii="Arial" w:eastAsia="Calibri" w:hAnsi="Arial" w:cs="Arial"/>
          <w:sz w:val="24"/>
          <w:szCs w:val="22"/>
        </w:rPr>
        <w:t xml:space="preserve">in accordance with the </w:t>
      </w:r>
      <w:r w:rsidR="00836FB9">
        <w:rPr>
          <w:rFonts w:ascii="Arial" w:eastAsia="Calibri" w:hAnsi="Arial" w:cs="Arial"/>
          <w:sz w:val="24"/>
          <w:szCs w:val="22"/>
        </w:rPr>
        <w:t xml:space="preserve">Buyer’s </w:t>
      </w:r>
      <w:r w:rsidR="007A30DE">
        <w:rPr>
          <w:rFonts w:ascii="Arial" w:eastAsia="Calibri" w:hAnsi="Arial" w:cs="Arial"/>
          <w:sz w:val="24"/>
          <w:szCs w:val="22"/>
        </w:rPr>
        <w:t>Expenses Policy attached at Annex 3, and only up to the cap</w:t>
      </w:r>
      <w:r w:rsidR="006C28F7">
        <w:rPr>
          <w:rFonts w:ascii="Arial" w:eastAsia="Calibri" w:hAnsi="Arial" w:cs="Arial"/>
          <w:sz w:val="24"/>
          <w:szCs w:val="22"/>
        </w:rPr>
        <w:t>ped amount as</w:t>
      </w:r>
      <w:r w:rsidR="007A30DE">
        <w:rPr>
          <w:rFonts w:ascii="Arial" w:eastAsia="Calibri" w:hAnsi="Arial" w:cs="Arial"/>
          <w:sz w:val="24"/>
          <w:szCs w:val="22"/>
        </w:rPr>
        <w:t xml:space="preserve"> set out in the </w:t>
      </w:r>
      <w:r w:rsidR="00836FB9">
        <w:rPr>
          <w:rFonts w:ascii="Arial" w:eastAsia="Calibri" w:hAnsi="Arial" w:cs="Arial"/>
          <w:sz w:val="24"/>
          <w:szCs w:val="22"/>
        </w:rPr>
        <w:t>SoW.</w:t>
      </w:r>
    </w:p>
    <w:p w14:paraId="6650CF96" w14:textId="25380A1E" w:rsidR="00A946C3" w:rsidRDefault="00A946C3" w:rsidP="0038487E">
      <w:pPr>
        <w:widowControl w:val="0"/>
        <w:overflowPunct/>
        <w:autoSpaceDE/>
        <w:autoSpaceDN/>
        <w:adjustRightInd/>
        <w:spacing w:after="200" w:line="276" w:lineRule="auto"/>
        <w:jc w:val="left"/>
        <w:textAlignment w:val="auto"/>
        <w:rPr>
          <w:rFonts w:ascii="Arial" w:eastAsia="Calibri" w:hAnsi="Arial" w:cs="Arial"/>
          <w:sz w:val="24"/>
          <w:szCs w:val="22"/>
        </w:rPr>
      </w:pPr>
      <w:r>
        <w:rPr>
          <w:rFonts w:ascii="Arial" w:eastAsia="Calibri" w:hAnsi="Arial" w:cs="Arial"/>
          <w:sz w:val="24"/>
          <w:szCs w:val="22"/>
        </w:rPr>
        <w:t>For the avoidance of doubt, expenses shall not be deemed reasonable where they would not constitute legitimate expenses in accordance with HMRC rules and guidance.</w:t>
      </w:r>
    </w:p>
    <w:p w14:paraId="3F26B615" w14:textId="116256B6" w:rsidR="007B7CCF" w:rsidRDefault="007B7CCF" w:rsidP="0038487E">
      <w:pPr>
        <w:widowControl w:val="0"/>
        <w:overflowPunct/>
        <w:autoSpaceDE/>
        <w:autoSpaceDN/>
        <w:adjustRightInd/>
        <w:spacing w:after="200" w:line="276" w:lineRule="auto"/>
        <w:jc w:val="left"/>
        <w:textAlignment w:val="auto"/>
        <w:rPr>
          <w:rFonts w:ascii="Arial" w:eastAsia="Calibri" w:hAnsi="Arial" w:cs="Arial"/>
          <w:sz w:val="24"/>
          <w:szCs w:val="22"/>
        </w:rPr>
      </w:pPr>
    </w:p>
    <w:p w14:paraId="559E665F" w14:textId="77777777" w:rsidR="0038487E" w:rsidRDefault="0038487E" w:rsidP="005960EE">
      <w:pPr>
        <w:overflowPunct/>
        <w:autoSpaceDE/>
        <w:autoSpaceDN/>
        <w:adjustRightInd/>
        <w:spacing w:after="200" w:line="276" w:lineRule="auto"/>
        <w:jc w:val="left"/>
        <w:textAlignment w:val="auto"/>
        <w:rPr>
          <w:rFonts w:ascii="Arial" w:eastAsia="Calibri" w:hAnsi="Arial" w:cs="Arial"/>
          <w:sz w:val="24"/>
          <w:szCs w:val="22"/>
        </w:rPr>
      </w:pPr>
    </w:p>
    <w:p w14:paraId="3C9C90FB" w14:textId="77777777" w:rsidR="0038487E" w:rsidRDefault="0038487E" w:rsidP="005960EE">
      <w:pPr>
        <w:overflowPunct/>
        <w:autoSpaceDE/>
        <w:autoSpaceDN/>
        <w:adjustRightInd/>
        <w:spacing w:after="200" w:line="276" w:lineRule="auto"/>
        <w:jc w:val="left"/>
        <w:textAlignment w:val="auto"/>
        <w:rPr>
          <w:rFonts w:ascii="Arial" w:eastAsia="Calibri" w:hAnsi="Arial" w:cs="Arial"/>
          <w:sz w:val="24"/>
          <w:szCs w:val="22"/>
        </w:rPr>
      </w:pPr>
    </w:p>
    <w:p w14:paraId="314839BC" w14:textId="38CA1BE2" w:rsidR="0038487E" w:rsidRDefault="0038487E" w:rsidP="005960EE">
      <w:pPr>
        <w:overflowPunct/>
        <w:autoSpaceDE/>
        <w:autoSpaceDN/>
        <w:adjustRightInd/>
        <w:spacing w:after="200" w:line="276" w:lineRule="auto"/>
        <w:jc w:val="left"/>
        <w:textAlignment w:val="auto"/>
        <w:rPr>
          <w:rFonts w:ascii="Arial" w:eastAsia="Calibri" w:hAnsi="Arial" w:cs="Arial"/>
          <w:sz w:val="24"/>
          <w:szCs w:val="22"/>
        </w:rPr>
        <w:sectPr w:rsidR="0038487E" w:rsidSect="00D3733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440" w:right="1440" w:bottom="1440" w:left="1440" w:header="709" w:footer="709" w:gutter="0"/>
          <w:cols w:space="720"/>
          <w:titlePg/>
          <w:docGrid w:linePitch="299"/>
        </w:sectPr>
      </w:pPr>
    </w:p>
    <w:p w14:paraId="65FBF944" w14:textId="6EE0E7F5" w:rsidR="00133837" w:rsidRPr="005960EE" w:rsidRDefault="00D104B7" w:rsidP="00CC4D45">
      <w:pPr>
        <w:pStyle w:val="GPSL2Numbered"/>
      </w:pPr>
      <w:r w:rsidRPr="005960EE">
        <w:lastRenderedPageBreak/>
        <w:t xml:space="preserve">Annex 1 </w:t>
      </w:r>
      <w:r>
        <w:t>(</w:t>
      </w:r>
      <w:r w:rsidRPr="005960EE">
        <w:t>Cal</w:t>
      </w:r>
      <w:r>
        <w:t>l</w:t>
      </w:r>
      <w:r w:rsidR="005C6697">
        <w:t>-</w:t>
      </w:r>
      <w:r w:rsidRPr="005960EE">
        <w:t xml:space="preserve">Off Contract </w:t>
      </w:r>
      <w:r w:rsidRPr="00982981">
        <w:t>Prices</w:t>
      </w:r>
      <w:r>
        <w:t>)</w:t>
      </w:r>
    </w:p>
    <w:p w14:paraId="7E19DCF7" w14:textId="50A9893D" w:rsidR="00D104B7" w:rsidRPr="0022439F" w:rsidRDefault="00D104B7" w:rsidP="00D104B7">
      <w:pPr>
        <w:pStyle w:val="MarginText"/>
        <w:rPr>
          <w:b/>
          <w:i/>
        </w:rPr>
      </w:pPr>
      <w:r w:rsidRPr="0022439F">
        <w:rPr>
          <w:b/>
          <w:i/>
          <w:highlight w:val="green"/>
        </w:rPr>
        <w:t xml:space="preserve">[This </w:t>
      </w:r>
      <w:r w:rsidRPr="002278A8">
        <w:rPr>
          <w:b/>
          <w:i/>
          <w:highlight w:val="green"/>
        </w:rPr>
        <w:t>annex to be populated based on the Supplier’s submitted tender. The below tables are illustrative only.</w:t>
      </w:r>
      <w:r w:rsidR="002278A8" w:rsidRPr="002278A8">
        <w:rPr>
          <w:b/>
          <w:i/>
          <w:highlight w:val="green"/>
        </w:rPr>
        <w:t xml:space="preserve"> </w:t>
      </w:r>
      <w:r w:rsidR="002278A8" w:rsidRPr="00A11DE5">
        <w:rPr>
          <w:b/>
          <w:i/>
          <w:highlight w:val="green"/>
        </w:rPr>
        <w:t>Suppliers and Subcontractors should provide rate cards for each jurisdiction from which any element of the Deliverables may be provided.</w:t>
      </w:r>
      <w:r w:rsidRPr="002278A8">
        <w:rPr>
          <w:b/>
          <w:i/>
          <w:highlight w:val="green"/>
        </w:rPr>
        <w:t>]</w:t>
      </w:r>
    </w:p>
    <w:p w14:paraId="540C177F" w14:textId="4B09FC21" w:rsidR="00D104B7" w:rsidRPr="00C93780" w:rsidRDefault="00671E19" w:rsidP="00D104B7">
      <w:pPr>
        <w:pStyle w:val="BodyTextIndent"/>
        <w:numPr>
          <w:ilvl w:val="0"/>
          <w:numId w:val="93"/>
        </w:numPr>
        <w:tabs>
          <w:tab w:val="clear" w:pos="720"/>
          <w:tab w:val="num" w:pos="0"/>
        </w:tabs>
        <w:ind w:left="0"/>
        <w:rPr>
          <w:rFonts w:cs="Arial"/>
          <w:b/>
          <w:szCs w:val="24"/>
        </w:rPr>
      </w:pPr>
      <w:r>
        <w:rPr>
          <w:rFonts w:cs="Arial"/>
          <w:b/>
          <w:szCs w:val="24"/>
        </w:rPr>
        <w:t>Rate Card</w:t>
      </w:r>
      <w:r w:rsidR="00D104B7" w:rsidRPr="00C93780">
        <w:rPr>
          <w:rFonts w:cs="Arial"/>
          <w:b/>
          <w:szCs w:val="24"/>
        </w:rPr>
        <w:t xml:space="preserve">: </w:t>
      </w:r>
      <w:r w:rsidR="00D104B7">
        <w:rPr>
          <w:rFonts w:cs="Arial"/>
          <w:b/>
          <w:szCs w:val="24"/>
        </w:rPr>
        <w:t xml:space="preserve">Capped </w:t>
      </w:r>
      <w:r w:rsidR="00D104B7" w:rsidRPr="00C93780">
        <w:rPr>
          <w:rFonts w:cs="Arial"/>
          <w:b/>
          <w:szCs w:val="24"/>
        </w:rPr>
        <w:t>Time and Materials</w:t>
      </w:r>
    </w:p>
    <w:p w14:paraId="6EEE3C27" w14:textId="77777777" w:rsidR="00D104B7" w:rsidRDefault="00D104B7" w:rsidP="005960EE">
      <w:pPr>
        <w:pStyle w:val="MarginText"/>
        <w:rPr>
          <w:rFonts w:cs="Arial"/>
          <w:sz w:val="24"/>
          <w:szCs w:val="24"/>
        </w:rPr>
      </w:pPr>
      <w:r w:rsidRPr="00C93780">
        <w:rPr>
          <w:rFonts w:cs="Arial"/>
          <w:sz w:val="24"/>
          <w:szCs w:val="24"/>
        </w:rPr>
        <w:t>The Supplier (and its Sub</w:t>
      </w:r>
      <w:r>
        <w:rPr>
          <w:rFonts w:cs="Arial"/>
          <w:sz w:val="24"/>
          <w:szCs w:val="24"/>
        </w:rPr>
        <w:t>c</w:t>
      </w:r>
      <w:r w:rsidRPr="00C93780">
        <w:rPr>
          <w:rFonts w:cs="Arial"/>
          <w:sz w:val="24"/>
          <w:szCs w:val="24"/>
        </w:rPr>
        <w:t>ontractor</w:t>
      </w:r>
      <w:r>
        <w:rPr>
          <w:rFonts w:cs="Arial"/>
          <w:sz w:val="24"/>
          <w:szCs w:val="24"/>
        </w:rPr>
        <w:t>s</w:t>
      </w:r>
      <w:r w:rsidRPr="00C93780">
        <w:rPr>
          <w:rFonts w:cs="Arial"/>
          <w:sz w:val="24"/>
          <w:szCs w:val="24"/>
        </w:rPr>
        <w:t>) shall not be entitled to include any uplift for risks or contingencies within its day rates</w:t>
      </w:r>
      <w:r>
        <w:rPr>
          <w:rFonts w:cs="Arial"/>
          <w:sz w:val="24"/>
          <w:szCs w:val="24"/>
        </w:rPr>
        <w:t>.</w:t>
      </w:r>
    </w:p>
    <w:tbl>
      <w:tblPr>
        <w:tblW w:w="11739" w:type="dxa"/>
        <w:tblInd w:w="-5" w:type="dxa"/>
        <w:tblLook w:val="04A0" w:firstRow="1" w:lastRow="0" w:firstColumn="1" w:lastColumn="0" w:noHBand="0" w:noVBand="1"/>
      </w:tblPr>
      <w:tblGrid>
        <w:gridCol w:w="1134"/>
        <w:gridCol w:w="284"/>
        <w:gridCol w:w="1425"/>
        <w:gridCol w:w="2544"/>
        <w:gridCol w:w="283"/>
        <w:gridCol w:w="732"/>
        <w:gridCol w:w="1341"/>
        <w:gridCol w:w="1341"/>
        <w:gridCol w:w="1341"/>
        <w:gridCol w:w="1314"/>
      </w:tblGrid>
      <w:tr w:rsidR="0080375D" w:rsidRPr="0080375D" w14:paraId="46B1B641" w14:textId="77777777" w:rsidTr="00A11DE5">
        <w:trPr>
          <w:trHeight w:val="1277"/>
        </w:trPr>
        <w:tc>
          <w:tcPr>
            <w:tcW w:w="1134" w:type="dxa"/>
            <w:tcBorders>
              <w:top w:val="single" w:sz="4" w:space="0" w:color="auto"/>
              <w:left w:val="single" w:sz="4" w:space="0" w:color="auto"/>
              <w:bottom w:val="single" w:sz="4" w:space="0" w:color="auto"/>
              <w:right w:val="single" w:sz="4" w:space="0" w:color="auto"/>
            </w:tcBorders>
            <w:shd w:val="clear" w:color="000000" w:fill="C65911"/>
            <w:noWrap/>
            <w:vAlign w:val="bottom"/>
            <w:hideMark/>
          </w:tcPr>
          <w:p w14:paraId="4CDBB6D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DDaT Cluster</w:t>
            </w:r>
          </w:p>
        </w:tc>
        <w:tc>
          <w:tcPr>
            <w:tcW w:w="284" w:type="dxa"/>
            <w:tcBorders>
              <w:top w:val="nil"/>
              <w:left w:val="nil"/>
              <w:bottom w:val="nil"/>
              <w:right w:val="nil"/>
            </w:tcBorders>
            <w:shd w:val="clear" w:color="auto" w:fill="auto"/>
            <w:hideMark/>
          </w:tcPr>
          <w:p w14:paraId="24013A7B"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000000" w:fill="C65911"/>
            <w:noWrap/>
            <w:vAlign w:val="bottom"/>
            <w:hideMark/>
          </w:tcPr>
          <w:p w14:paraId="5E2D5042"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Role Family</w:t>
            </w:r>
          </w:p>
        </w:tc>
        <w:tc>
          <w:tcPr>
            <w:tcW w:w="2544" w:type="dxa"/>
            <w:tcBorders>
              <w:top w:val="single" w:sz="4" w:space="0" w:color="auto"/>
              <w:left w:val="nil"/>
              <w:bottom w:val="single" w:sz="4" w:space="0" w:color="auto"/>
              <w:right w:val="single" w:sz="4" w:space="0" w:color="auto"/>
            </w:tcBorders>
            <w:shd w:val="clear" w:color="000000" w:fill="C65911"/>
            <w:noWrap/>
            <w:vAlign w:val="bottom"/>
            <w:hideMark/>
          </w:tcPr>
          <w:p w14:paraId="0B6CCA13"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DDaT Role</w:t>
            </w:r>
          </w:p>
        </w:tc>
        <w:tc>
          <w:tcPr>
            <w:tcW w:w="283" w:type="dxa"/>
            <w:tcBorders>
              <w:top w:val="nil"/>
              <w:left w:val="nil"/>
              <w:bottom w:val="nil"/>
              <w:right w:val="nil"/>
            </w:tcBorders>
            <w:shd w:val="clear" w:color="auto" w:fill="auto"/>
            <w:hideMark/>
          </w:tcPr>
          <w:p w14:paraId="6790E31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732" w:type="dxa"/>
            <w:tcBorders>
              <w:top w:val="single" w:sz="4" w:space="0" w:color="auto"/>
              <w:left w:val="single" w:sz="4" w:space="0" w:color="auto"/>
              <w:bottom w:val="single" w:sz="4" w:space="0" w:color="auto"/>
              <w:right w:val="single" w:sz="4" w:space="0" w:color="auto"/>
            </w:tcBorders>
            <w:shd w:val="clear" w:color="000000" w:fill="C65911"/>
            <w:vAlign w:val="bottom"/>
            <w:hideMark/>
          </w:tcPr>
          <w:p w14:paraId="3C63C47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SFIA</w:t>
            </w:r>
            <w:r w:rsidRPr="0080375D">
              <w:rPr>
                <w:rFonts w:ascii="Calibri" w:hAnsi="Calibri" w:cs="Calibri"/>
                <w:b/>
                <w:bCs/>
                <w:color w:val="FFFFFF"/>
                <w:sz w:val="24"/>
                <w:szCs w:val="24"/>
                <w:lang w:eastAsia="en-GB"/>
              </w:rPr>
              <w:br/>
              <w:t>Role Level</w:t>
            </w:r>
          </w:p>
        </w:tc>
        <w:tc>
          <w:tcPr>
            <w:tcW w:w="1341"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203469EF" w14:textId="4A923A82"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National Maximum Day Rate (£)</w:t>
            </w:r>
          </w:p>
        </w:tc>
        <w:tc>
          <w:tcPr>
            <w:tcW w:w="1341" w:type="dxa"/>
            <w:tcBorders>
              <w:top w:val="single" w:sz="4" w:space="0" w:color="auto"/>
              <w:left w:val="nil"/>
              <w:bottom w:val="single" w:sz="4" w:space="0" w:color="auto"/>
              <w:right w:val="single" w:sz="4" w:space="0" w:color="auto"/>
            </w:tcBorders>
            <w:shd w:val="clear" w:color="000000" w:fill="00B0F0"/>
            <w:vAlign w:val="bottom"/>
            <w:hideMark/>
          </w:tcPr>
          <w:p w14:paraId="15D0C866" w14:textId="66DB57DA"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br/>
              <w:t>London Maximum Day Rate (£)</w:t>
            </w:r>
          </w:p>
        </w:tc>
        <w:tc>
          <w:tcPr>
            <w:tcW w:w="1341" w:type="dxa"/>
            <w:tcBorders>
              <w:top w:val="single" w:sz="4" w:space="0" w:color="auto"/>
              <w:left w:val="nil"/>
              <w:bottom w:val="single" w:sz="4" w:space="0" w:color="auto"/>
              <w:right w:val="single" w:sz="4" w:space="0" w:color="auto"/>
            </w:tcBorders>
            <w:shd w:val="clear" w:color="000000" w:fill="FF0000"/>
            <w:vAlign w:val="bottom"/>
            <w:hideMark/>
          </w:tcPr>
          <w:p w14:paraId="05A4AAFA" w14:textId="07C6431B"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Leeds</w:t>
            </w:r>
            <w:r w:rsidRPr="0080375D">
              <w:rPr>
                <w:rFonts w:ascii="Calibri" w:hAnsi="Calibri" w:cs="Calibri"/>
                <w:b/>
                <w:bCs/>
                <w:color w:val="FFFFFF"/>
                <w:sz w:val="24"/>
                <w:szCs w:val="24"/>
                <w:lang w:eastAsia="en-GB"/>
              </w:rPr>
              <w:br/>
              <w:t>Maximum Day Rate (£)</w:t>
            </w:r>
          </w:p>
        </w:tc>
        <w:tc>
          <w:tcPr>
            <w:tcW w:w="1314" w:type="dxa"/>
            <w:tcBorders>
              <w:top w:val="single" w:sz="4" w:space="0" w:color="auto"/>
              <w:left w:val="nil"/>
              <w:bottom w:val="single" w:sz="4" w:space="0" w:color="auto"/>
              <w:right w:val="single" w:sz="4" w:space="0" w:color="auto"/>
            </w:tcBorders>
            <w:shd w:val="clear" w:color="000000" w:fill="7030A0"/>
            <w:vAlign w:val="bottom"/>
            <w:hideMark/>
          </w:tcPr>
          <w:p w14:paraId="2E559AF6" w14:textId="77777777" w:rsidR="00811CF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 xml:space="preserve">Home </w:t>
            </w:r>
          </w:p>
          <w:p w14:paraId="193FFBF5" w14:textId="69A002E4" w:rsidR="0080375D" w:rsidRPr="0080375D" w:rsidRDefault="00811CF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r>
              <w:rPr>
                <w:rFonts w:ascii="Calibri" w:hAnsi="Calibri" w:cs="Calibri"/>
                <w:b/>
                <w:bCs/>
                <w:color w:val="FFFFFF"/>
                <w:sz w:val="24"/>
                <w:szCs w:val="24"/>
                <w:lang w:eastAsia="en-GB"/>
              </w:rPr>
              <w:t xml:space="preserve">Maximum </w:t>
            </w:r>
            <w:r w:rsidR="0080375D" w:rsidRPr="0080375D">
              <w:rPr>
                <w:rFonts w:ascii="Calibri" w:hAnsi="Calibri" w:cs="Calibri"/>
                <w:b/>
                <w:bCs/>
                <w:color w:val="FFFFFF"/>
                <w:sz w:val="24"/>
                <w:szCs w:val="24"/>
                <w:lang w:eastAsia="en-GB"/>
              </w:rPr>
              <w:t>Day Rate (£)</w:t>
            </w:r>
          </w:p>
        </w:tc>
      </w:tr>
      <w:tr w:rsidR="0080375D" w:rsidRPr="0080375D" w14:paraId="4C6FF812" w14:textId="77777777" w:rsidTr="00A11DE5">
        <w:trPr>
          <w:trHeight w:val="315"/>
        </w:trPr>
        <w:tc>
          <w:tcPr>
            <w:tcW w:w="1134" w:type="dxa"/>
            <w:tcBorders>
              <w:top w:val="nil"/>
              <w:left w:val="nil"/>
              <w:bottom w:val="nil"/>
              <w:right w:val="nil"/>
            </w:tcBorders>
            <w:shd w:val="clear" w:color="auto" w:fill="auto"/>
            <w:vAlign w:val="bottom"/>
            <w:hideMark/>
          </w:tcPr>
          <w:p w14:paraId="2AA9A3B2"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284" w:type="dxa"/>
            <w:tcBorders>
              <w:top w:val="nil"/>
              <w:left w:val="nil"/>
              <w:bottom w:val="nil"/>
              <w:right w:val="nil"/>
            </w:tcBorders>
            <w:shd w:val="clear" w:color="auto" w:fill="auto"/>
            <w:hideMark/>
          </w:tcPr>
          <w:p w14:paraId="48F9B376" w14:textId="77777777" w:rsidR="0080375D" w:rsidRPr="0080375D" w:rsidRDefault="0080375D" w:rsidP="0080375D">
            <w:pPr>
              <w:overflowPunct/>
              <w:autoSpaceDE/>
              <w:autoSpaceDN/>
              <w:adjustRightInd/>
              <w:spacing w:after="0" w:line="240" w:lineRule="auto"/>
              <w:jc w:val="center"/>
              <w:textAlignment w:val="auto"/>
              <w:rPr>
                <w:sz w:val="20"/>
                <w:lang w:eastAsia="en-GB"/>
              </w:rPr>
            </w:pPr>
          </w:p>
        </w:tc>
        <w:tc>
          <w:tcPr>
            <w:tcW w:w="1425" w:type="dxa"/>
            <w:tcBorders>
              <w:top w:val="nil"/>
              <w:left w:val="nil"/>
              <w:bottom w:val="nil"/>
              <w:right w:val="nil"/>
            </w:tcBorders>
            <w:shd w:val="clear" w:color="auto" w:fill="auto"/>
            <w:hideMark/>
          </w:tcPr>
          <w:p w14:paraId="2E66A0DE" w14:textId="77777777" w:rsidR="0080375D" w:rsidRPr="0080375D" w:rsidRDefault="0080375D" w:rsidP="0080375D">
            <w:pPr>
              <w:overflowPunct/>
              <w:autoSpaceDE/>
              <w:autoSpaceDN/>
              <w:adjustRightInd/>
              <w:spacing w:after="0" w:line="240" w:lineRule="auto"/>
              <w:jc w:val="left"/>
              <w:textAlignment w:val="auto"/>
              <w:rPr>
                <w:sz w:val="20"/>
                <w:lang w:eastAsia="en-GB"/>
              </w:rPr>
            </w:pPr>
          </w:p>
        </w:tc>
        <w:tc>
          <w:tcPr>
            <w:tcW w:w="2544" w:type="dxa"/>
            <w:tcBorders>
              <w:top w:val="nil"/>
              <w:left w:val="nil"/>
              <w:bottom w:val="nil"/>
              <w:right w:val="nil"/>
            </w:tcBorders>
            <w:shd w:val="clear" w:color="auto" w:fill="auto"/>
            <w:vAlign w:val="bottom"/>
            <w:hideMark/>
          </w:tcPr>
          <w:p w14:paraId="323626D0" w14:textId="77777777" w:rsidR="0080375D" w:rsidRPr="0080375D" w:rsidRDefault="0080375D" w:rsidP="0080375D">
            <w:pPr>
              <w:overflowPunct/>
              <w:autoSpaceDE/>
              <w:autoSpaceDN/>
              <w:adjustRightInd/>
              <w:spacing w:after="0" w:line="240" w:lineRule="auto"/>
              <w:jc w:val="left"/>
              <w:textAlignment w:val="auto"/>
              <w:rPr>
                <w:sz w:val="20"/>
                <w:lang w:eastAsia="en-GB"/>
              </w:rPr>
            </w:pPr>
          </w:p>
        </w:tc>
        <w:tc>
          <w:tcPr>
            <w:tcW w:w="283" w:type="dxa"/>
            <w:tcBorders>
              <w:top w:val="nil"/>
              <w:left w:val="nil"/>
              <w:bottom w:val="nil"/>
              <w:right w:val="nil"/>
            </w:tcBorders>
            <w:shd w:val="clear" w:color="auto" w:fill="auto"/>
            <w:hideMark/>
          </w:tcPr>
          <w:p w14:paraId="627BBBF2" w14:textId="77777777" w:rsidR="0080375D" w:rsidRPr="0080375D" w:rsidRDefault="0080375D" w:rsidP="0080375D">
            <w:pPr>
              <w:overflowPunct/>
              <w:autoSpaceDE/>
              <w:autoSpaceDN/>
              <w:adjustRightInd/>
              <w:spacing w:after="0" w:line="240" w:lineRule="auto"/>
              <w:jc w:val="center"/>
              <w:textAlignment w:val="auto"/>
              <w:rPr>
                <w:sz w:val="20"/>
                <w:lang w:eastAsia="en-GB"/>
              </w:rPr>
            </w:pPr>
          </w:p>
        </w:tc>
        <w:tc>
          <w:tcPr>
            <w:tcW w:w="732" w:type="dxa"/>
            <w:tcBorders>
              <w:top w:val="nil"/>
              <w:left w:val="nil"/>
              <w:bottom w:val="nil"/>
              <w:right w:val="nil"/>
            </w:tcBorders>
            <w:shd w:val="clear" w:color="auto" w:fill="auto"/>
            <w:hideMark/>
          </w:tcPr>
          <w:p w14:paraId="3FE63092" w14:textId="77777777" w:rsidR="0080375D" w:rsidRPr="0080375D" w:rsidRDefault="0080375D" w:rsidP="0080375D">
            <w:pPr>
              <w:overflowPunct/>
              <w:autoSpaceDE/>
              <w:autoSpaceDN/>
              <w:adjustRightInd/>
              <w:spacing w:after="0" w:line="240" w:lineRule="auto"/>
              <w:jc w:val="left"/>
              <w:textAlignment w:val="auto"/>
              <w:rPr>
                <w:sz w:val="20"/>
                <w:lang w:eastAsia="en-GB"/>
              </w:rPr>
            </w:pPr>
          </w:p>
        </w:tc>
        <w:tc>
          <w:tcPr>
            <w:tcW w:w="1341" w:type="dxa"/>
            <w:tcBorders>
              <w:top w:val="nil"/>
              <w:left w:val="nil"/>
              <w:bottom w:val="nil"/>
              <w:right w:val="nil"/>
            </w:tcBorders>
            <w:shd w:val="clear" w:color="auto" w:fill="auto"/>
          </w:tcPr>
          <w:p w14:paraId="4B3B6184" w14:textId="37C56216" w:rsidR="0080375D" w:rsidRPr="0080375D" w:rsidRDefault="0080375D" w:rsidP="0080375D">
            <w:pPr>
              <w:overflowPunct/>
              <w:autoSpaceDE/>
              <w:autoSpaceDN/>
              <w:adjustRightInd/>
              <w:spacing w:after="0" w:line="240" w:lineRule="auto"/>
              <w:jc w:val="right"/>
              <w:textAlignment w:val="auto"/>
              <w:rPr>
                <w:rFonts w:ascii="Calibri" w:hAnsi="Calibri" w:cs="Calibri"/>
                <w:color w:val="000000"/>
                <w:sz w:val="24"/>
                <w:szCs w:val="24"/>
                <w:lang w:eastAsia="en-GB"/>
              </w:rPr>
            </w:pPr>
          </w:p>
        </w:tc>
        <w:tc>
          <w:tcPr>
            <w:tcW w:w="1341" w:type="dxa"/>
            <w:tcBorders>
              <w:top w:val="nil"/>
              <w:left w:val="nil"/>
              <w:bottom w:val="nil"/>
              <w:right w:val="nil"/>
            </w:tcBorders>
            <w:shd w:val="clear" w:color="auto" w:fill="auto"/>
          </w:tcPr>
          <w:p w14:paraId="4018D6DA" w14:textId="52418CDA" w:rsidR="0080375D" w:rsidRPr="0080375D" w:rsidRDefault="0080375D" w:rsidP="0080375D">
            <w:pPr>
              <w:overflowPunct/>
              <w:autoSpaceDE/>
              <w:autoSpaceDN/>
              <w:adjustRightInd/>
              <w:spacing w:after="0" w:line="240" w:lineRule="auto"/>
              <w:jc w:val="right"/>
              <w:textAlignment w:val="auto"/>
              <w:rPr>
                <w:rFonts w:ascii="Calibri" w:hAnsi="Calibri" w:cs="Calibri"/>
                <w:color w:val="000000"/>
                <w:sz w:val="24"/>
                <w:szCs w:val="24"/>
                <w:lang w:eastAsia="en-GB"/>
              </w:rPr>
            </w:pPr>
          </w:p>
        </w:tc>
        <w:tc>
          <w:tcPr>
            <w:tcW w:w="1341" w:type="dxa"/>
            <w:tcBorders>
              <w:top w:val="nil"/>
              <w:left w:val="nil"/>
              <w:bottom w:val="nil"/>
              <w:right w:val="nil"/>
            </w:tcBorders>
            <w:shd w:val="clear" w:color="auto" w:fill="auto"/>
          </w:tcPr>
          <w:p w14:paraId="13F73121" w14:textId="07C2ABB2" w:rsidR="0080375D" w:rsidRPr="0080375D" w:rsidRDefault="0080375D" w:rsidP="0080375D">
            <w:pPr>
              <w:overflowPunct/>
              <w:autoSpaceDE/>
              <w:autoSpaceDN/>
              <w:adjustRightInd/>
              <w:spacing w:after="0" w:line="240" w:lineRule="auto"/>
              <w:jc w:val="right"/>
              <w:textAlignment w:val="auto"/>
              <w:rPr>
                <w:rFonts w:ascii="Calibri" w:hAnsi="Calibri" w:cs="Calibri"/>
                <w:color w:val="000000"/>
                <w:sz w:val="24"/>
                <w:szCs w:val="24"/>
                <w:lang w:eastAsia="en-GB"/>
              </w:rPr>
            </w:pPr>
          </w:p>
        </w:tc>
        <w:tc>
          <w:tcPr>
            <w:tcW w:w="1314" w:type="dxa"/>
            <w:tcBorders>
              <w:top w:val="nil"/>
              <w:left w:val="nil"/>
              <w:bottom w:val="nil"/>
              <w:right w:val="nil"/>
            </w:tcBorders>
            <w:shd w:val="clear" w:color="auto" w:fill="auto"/>
          </w:tcPr>
          <w:p w14:paraId="0D2480DB" w14:textId="3A9BD838" w:rsidR="0080375D" w:rsidRPr="0080375D" w:rsidRDefault="0080375D" w:rsidP="0080375D">
            <w:pPr>
              <w:overflowPunct/>
              <w:autoSpaceDE/>
              <w:autoSpaceDN/>
              <w:adjustRightInd/>
              <w:spacing w:after="0" w:line="240" w:lineRule="auto"/>
              <w:jc w:val="right"/>
              <w:textAlignment w:val="auto"/>
              <w:rPr>
                <w:rFonts w:ascii="Calibri" w:hAnsi="Calibri" w:cs="Calibri"/>
                <w:color w:val="000000"/>
                <w:sz w:val="24"/>
                <w:szCs w:val="24"/>
                <w:lang w:eastAsia="en-GB"/>
              </w:rPr>
            </w:pPr>
          </w:p>
        </w:tc>
      </w:tr>
      <w:tr w:rsidR="0080375D" w:rsidRPr="0080375D" w14:paraId="177F8D6D" w14:textId="77777777" w:rsidTr="00A11DE5">
        <w:trPr>
          <w:trHeight w:val="285"/>
        </w:trPr>
        <w:tc>
          <w:tcPr>
            <w:tcW w:w="1134" w:type="dxa"/>
            <w:tcBorders>
              <w:top w:val="single" w:sz="4" w:space="0" w:color="auto"/>
              <w:left w:val="single" w:sz="4" w:space="0" w:color="auto"/>
              <w:bottom w:val="single" w:sz="4" w:space="0" w:color="auto"/>
              <w:right w:val="single" w:sz="4" w:space="0" w:color="auto"/>
            </w:tcBorders>
            <w:shd w:val="clear" w:color="000000" w:fill="CABAD4"/>
            <w:noWrap/>
            <w:vAlign w:val="bottom"/>
            <w:hideMark/>
          </w:tcPr>
          <w:p w14:paraId="7E8CB250"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76A196DA"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29B3"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44" w:type="dxa"/>
            <w:tcBorders>
              <w:top w:val="single" w:sz="4" w:space="0" w:color="auto"/>
              <w:left w:val="nil"/>
              <w:bottom w:val="single" w:sz="4" w:space="0" w:color="auto"/>
              <w:right w:val="single" w:sz="4" w:space="0" w:color="auto"/>
            </w:tcBorders>
            <w:shd w:val="clear" w:color="auto" w:fill="auto"/>
            <w:noWrap/>
            <w:vAlign w:val="bottom"/>
            <w:hideMark/>
          </w:tcPr>
          <w:p w14:paraId="1CBD7F49"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Head of Data Engineering</w:t>
            </w:r>
          </w:p>
        </w:tc>
        <w:tc>
          <w:tcPr>
            <w:tcW w:w="283" w:type="dxa"/>
            <w:tcBorders>
              <w:top w:val="nil"/>
              <w:left w:val="nil"/>
              <w:bottom w:val="nil"/>
              <w:right w:val="nil"/>
            </w:tcBorders>
            <w:shd w:val="clear" w:color="auto" w:fill="auto"/>
            <w:noWrap/>
            <w:vAlign w:val="bottom"/>
            <w:hideMark/>
          </w:tcPr>
          <w:p w14:paraId="2CC8E365"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8654C"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609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99A6B72"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418ED6C"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14:paraId="2B592F7D"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80375D" w:rsidRPr="0080375D" w14:paraId="491EF4A1"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hideMark/>
          </w:tcPr>
          <w:p w14:paraId="13615F39"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198ED245"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7255C43"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44" w:type="dxa"/>
            <w:tcBorders>
              <w:top w:val="nil"/>
              <w:left w:val="nil"/>
              <w:bottom w:val="single" w:sz="4" w:space="0" w:color="auto"/>
              <w:right w:val="single" w:sz="4" w:space="0" w:color="auto"/>
            </w:tcBorders>
            <w:shd w:val="clear" w:color="auto" w:fill="auto"/>
            <w:noWrap/>
            <w:vAlign w:val="bottom"/>
            <w:hideMark/>
          </w:tcPr>
          <w:p w14:paraId="0F513CDA"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Lead Data Engineer</w:t>
            </w:r>
          </w:p>
        </w:tc>
        <w:tc>
          <w:tcPr>
            <w:tcW w:w="283" w:type="dxa"/>
            <w:tcBorders>
              <w:top w:val="nil"/>
              <w:left w:val="nil"/>
              <w:bottom w:val="nil"/>
              <w:right w:val="nil"/>
            </w:tcBorders>
            <w:shd w:val="clear" w:color="auto" w:fill="auto"/>
            <w:noWrap/>
            <w:vAlign w:val="bottom"/>
            <w:hideMark/>
          </w:tcPr>
          <w:p w14:paraId="3A9827C0"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7A39BF32"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5</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D7268AB"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09264D81"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1D77F82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E76A83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80375D" w:rsidRPr="0080375D" w14:paraId="7CD1EFFE"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hideMark/>
          </w:tcPr>
          <w:p w14:paraId="439BB15C"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46EFED57"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D70F10D"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44" w:type="dxa"/>
            <w:tcBorders>
              <w:top w:val="nil"/>
              <w:left w:val="nil"/>
              <w:bottom w:val="single" w:sz="4" w:space="0" w:color="auto"/>
              <w:right w:val="single" w:sz="4" w:space="0" w:color="auto"/>
            </w:tcBorders>
            <w:shd w:val="clear" w:color="auto" w:fill="auto"/>
            <w:noWrap/>
            <w:vAlign w:val="bottom"/>
            <w:hideMark/>
          </w:tcPr>
          <w:p w14:paraId="70DC86BE"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Senior Data Engineer</w:t>
            </w:r>
          </w:p>
        </w:tc>
        <w:tc>
          <w:tcPr>
            <w:tcW w:w="283" w:type="dxa"/>
            <w:tcBorders>
              <w:top w:val="nil"/>
              <w:left w:val="nil"/>
              <w:bottom w:val="nil"/>
              <w:right w:val="nil"/>
            </w:tcBorders>
            <w:shd w:val="clear" w:color="auto" w:fill="auto"/>
            <w:noWrap/>
            <w:vAlign w:val="bottom"/>
            <w:hideMark/>
          </w:tcPr>
          <w:p w14:paraId="572A0D26"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3475AD4"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4</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6AD3A01"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3E96E65F"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3E109238"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CC641AB"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80375D" w:rsidRPr="0080375D" w14:paraId="6D7B14A8"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hideMark/>
          </w:tcPr>
          <w:p w14:paraId="1CF0F04A"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623F1B07"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9FCB4B6"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44" w:type="dxa"/>
            <w:tcBorders>
              <w:top w:val="nil"/>
              <w:left w:val="nil"/>
              <w:bottom w:val="single" w:sz="4" w:space="0" w:color="auto"/>
              <w:right w:val="single" w:sz="4" w:space="0" w:color="auto"/>
            </w:tcBorders>
            <w:shd w:val="clear" w:color="auto" w:fill="auto"/>
            <w:noWrap/>
            <w:vAlign w:val="bottom"/>
            <w:hideMark/>
          </w:tcPr>
          <w:p w14:paraId="5EAD6370"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 Engineer</w:t>
            </w:r>
          </w:p>
        </w:tc>
        <w:tc>
          <w:tcPr>
            <w:tcW w:w="283" w:type="dxa"/>
            <w:tcBorders>
              <w:top w:val="nil"/>
              <w:left w:val="nil"/>
              <w:bottom w:val="nil"/>
              <w:right w:val="nil"/>
            </w:tcBorders>
            <w:shd w:val="clear" w:color="auto" w:fill="auto"/>
            <w:noWrap/>
            <w:vAlign w:val="bottom"/>
            <w:hideMark/>
          </w:tcPr>
          <w:p w14:paraId="3CCC97CE"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FE884B1"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3</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7173824"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20D172E1"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1E30E540"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4D794FA"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80375D" w:rsidRPr="0080375D" w14:paraId="19E8760A"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hideMark/>
          </w:tcPr>
          <w:p w14:paraId="25D46911"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60CF8AB7"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5096AA5"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DataScientist</w:t>
            </w:r>
          </w:p>
        </w:tc>
        <w:tc>
          <w:tcPr>
            <w:tcW w:w="2544" w:type="dxa"/>
            <w:tcBorders>
              <w:top w:val="nil"/>
              <w:left w:val="nil"/>
              <w:bottom w:val="single" w:sz="4" w:space="0" w:color="auto"/>
              <w:right w:val="single" w:sz="4" w:space="0" w:color="auto"/>
            </w:tcBorders>
            <w:shd w:val="clear" w:color="auto" w:fill="auto"/>
            <w:noWrap/>
            <w:vAlign w:val="bottom"/>
            <w:hideMark/>
          </w:tcPr>
          <w:p w14:paraId="254CFF74"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 xml:space="preserve">Head of Data Science </w:t>
            </w:r>
          </w:p>
        </w:tc>
        <w:tc>
          <w:tcPr>
            <w:tcW w:w="283" w:type="dxa"/>
            <w:tcBorders>
              <w:top w:val="nil"/>
              <w:left w:val="nil"/>
              <w:bottom w:val="nil"/>
              <w:right w:val="nil"/>
            </w:tcBorders>
            <w:shd w:val="clear" w:color="auto" w:fill="auto"/>
            <w:noWrap/>
            <w:vAlign w:val="bottom"/>
            <w:hideMark/>
          </w:tcPr>
          <w:p w14:paraId="15F0D1DF" w14:textId="77777777" w:rsidR="0080375D" w:rsidRPr="0080375D" w:rsidRDefault="0080375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2B00B7D"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6</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CCCFABF"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3EBC63BA"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5C4AB774"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96CB1A9" w14:textId="77777777" w:rsidR="0080375D" w:rsidRPr="0080375D" w:rsidRDefault="0080375D" w:rsidP="0080375D">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7B7CCF" w:rsidRPr="0080375D" w14:paraId="67A5CFDD"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hideMark/>
          </w:tcPr>
          <w:p w14:paraId="267633EB"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4" w:type="dxa"/>
            <w:tcBorders>
              <w:top w:val="nil"/>
              <w:left w:val="nil"/>
              <w:bottom w:val="nil"/>
              <w:right w:val="nil"/>
            </w:tcBorders>
            <w:shd w:val="clear" w:color="auto" w:fill="auto"/>
            <w:noWrap/>
            <w:vAlign w:val="bottom"/>
            <w:hideMark/>
          </w:tcPr>
          <w:p w14:paraId="1FB27525"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C44DDD1"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44" w:type="dxa"/>
            <w:tcBorders>
              <w:top w:val="nil"/>
              <w:left w:val="nil"/>
              <w:bottom w:val="single" w:sz="4" w:space="0" w:color="auto"/>
              <w:right w:val="single" w:sz="4" w:space="0" w:color="auto"/>
            </w:tcBorders>
            <w:shd w:val="clear" w:color="auto" w:fill="auto"/>
            <w:noWrap/>
            <w:vAlign w:val="bottom"/>
            <w:hideMark/>
          </w:tcPr>
          <w:p w14:paraId="18FE5872" w14:textId="2DB0EA0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Senior Data Scientist</w:t>
            </w:r>
          </w:p>
        </w:tc>
        <w:tc>
          <w:tcPr>
            <w:tcW w:w="283" w:type="dxa"/>
            <w:tcBorders>
              <w:top w:val="nil"/>
              <w:left w:val="nil"/>
              <w:bottom w:val="nil"/>
              <w:right w:val="nil"/>
            </w:tcBorders>
            <w:shd w:val="clear" w:color="auto" w:fill="auto"/>
            <w:noWrap/>
            <w:vAlign w:val="bottom"/>
            <w:hideMark/>
          </w:tcPr>
          <w:p w14:paraId="7093C5C2"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70169417"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3</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D3C36DC"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7A115D2D"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41" w:type="dxa"/>
            <w:tcBorders>
              <w:top w:val="nil"/>
              <w:left w:val="nil"/>
              <w:bottom w:val="single" w:sz="4" w:space="0" w:color="auto"/>
              <w:right w:val="single" w:sz="4" w:space="0" w:color="auto"/>
            </w:tcBorders>
            <w:shd w:val="clear" w:color="auto" w:fill="auto"/>
            <w:noWrap/>
            <w:vAlign w:val="bottom"/>
            <w:hideMark/>
          </w:tcPr>
          <w:p w14:paraId="07307D97"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A4EAF3E"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BA7BB6" w:rsidRPr="0080375D" w14:paraId="54CD7199"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tcPr>
          <w:p w14:paraId="73CFDD51"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284" w:type="dxa"/>
            <w:tcBorders>
              <w:top w:val="nil"/>
              <w:left w:val="nil"/>
              <w:bottom w:val="nil"/>
              <w:right w:val="nil"/>
            </w:tcBorders>
            <w:shd w:val="clear" w:color="auto" w:fill="auto"/>
            <w:noWrap/>
            <w:vAlign w:val="bottom"/>
          </w:tcPr>
          <w:p w14:paraId="086A6B35"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tcPr>
          <w:p w14:paraId="759F909D" w14:textId="1D70F438"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r>
              <w:rPr>
                <w:rFonts w:ascii="Calibri" w:hAnsi="Calibri" w:cs="Calibri"/>
                <w:color w:val="000000"/>
                <w:szCs w:val="22"/>
                <w:lang w:eastAsia="en-GB"/>
              </w:rPr>
              <w:t>….</w:t>
            </w:r>
          </w:p>
        </w:tc>
        <w:tc>
          <w:tcPr>
            <w:tcW w:w="2544" w:type="dxa"/>
            <w:tcBorders>
              <w:top w:val="nil"/>
              <w:left w:val="nil"/>
              <w:bottom w:val="single" w:sz="4" w:space="0" w:color="auto"/>
              <w:right w:val="single" w:sz="4" w:space="0" w:color="auto"/>
            </w:tcBorders>
            <w:shd w:val="clear" w:color="auto" w:fill="auto"/>
            <w:noWrap/>
            <w:vAlign w:val="bottom"/>
          </w:tcPr>
          <w:p w14:paraId="057BD85E"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283" w:type="dxa"/>
            <w:tcBorders>
              <w:top w:val="nil"/>
              <w:left w:val="nil"/>
              <w:bottom w:val="nil"/>
              <w:right w:val="nil"/>
            </w:tcBorders>
            <w:shd w:val="clear" w:color="auto" w:fill="auto"/>
            <w:noWrap/>
            <w:vAlign w:val="bottom"/>
          </w:tcPr>
          <w:p w14:paraId="7B282F0A" w14:textId="77777777" w:rsidR="00BA7BB6" w:rsidRPr="0080375D" w:rsidRDefault="00BA7BB6"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tcPr>
          <w:p w14:paraId="4FA188DE"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single" w:sz="4" w:space="0" w:color="auto"/>
              <w:bottom w:val="single" w:sz="4" w:space="0" w:color="auto"/>
              <w:right w:val="single" w:sz="4" w:space="0" w:color="auto"/>
            </w:tcBorders>
            <w:shd w:val="clear" w:color="auto" w:fill="auto"/>
            <w:noWrap/>
            <w:vAlign w:val="bottom"/>
          </w:tcPr>
          <w:p w14:paraId="030C9EC5"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nil"/>
              <w:bottom w:val="single" w:sz="4" w:space="0" w:color="auto"/>
              <w:right w:val="single" w:sz="4" w:space="0" w:color="auto"/>
            </w:tcBorders>
            <w:shd w:val="clear" w:color="auto" w:fill="auto"/>
            <w:noWrap/>
            <w:vAlign w:val="bottom"/>
          </w:tcPr>
          <w:p w14:paraId="1633912F"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nil"/>
              <w:bottom w:val="single" w:sz="4" w:space="0" w:color="auto"/>
              <w:right w:val="single" w:sz="4" w:space="0" w:color="auto"/>
            </w:tcBorders>
            <w:shd w:val="clear" w:color="auto" w:fill="auto"/>
            <w:noWrap/>
            <w:vAlign w:val="bottom"/>
          </w:tcPr>
          <w:p w14:paraId="53557298"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14" w:type="dxa"/>
            <w:tcBorders>
              <w:top w:val="nil"/>
              <w:left w:val="nil"/>
              <w:bottom w:val="single" w:sz="4" w:space="0" w:color="auto"/>
              <w:right w:val="single" w:sz="4" w:space="0" w:color="auto"/>
            </w:tcBorders>
            <w:shd w:val="clear" w:color="auto" w:fill="auto"/>
            <w:noWrap/>
            <w:vAlign w:val="bottom"/>
          </w:tcPr>
          <w:p w14:paraId="101A1CBE" w14:textId="77777777" w:rsidR="00BA7BB6" w:rsidRPr="0080375D" w:rsidRDefault="00BA7BB6" w:rsidP="00A92B04">
            <w:pPr>
              <w:overflowPunct/>
              <w:autoSpaceDE/>
              <w:autoSpaceDN/>
              <w:adjustRightInd/>
              <w:spacing w:after="0" w:line="240" w:lineRule="auto"/>
              <w:jc w:val="center"/>
              <w:textAlignment w:val="auto"/>
              <w:rPr>
                <w:rFonts w:ascii="Calibri" w:hAnsi="Calibri" w:cs="Calibri"/>
                <w:color w:val="000000"/>
                <w:szCs w:val="22"/>
                <w:lang w:eastAsia="en-GB"/>
              </w:rPr>
            </w:pPr>
          </w:p>
        </w:tc>
      </w:tr>
      <w:tr w:rsidR="00811CFD" w:rsidRPr="0080375D" w14:paraId="68025E1F" w14:textId="77777777" w:rsidTr="00A11DE5">
        <w:trPr>
          <w:trHeight w:val="285"/>
        </w:trPr>
        <w:tc>
          <w:tcPr>
            <w:tcW w:w="1134" w:type="dxa"/>
            <w:tcBorders>
              <w:top w:val="nil"/>
              <w:left w:val="single" w:sz="4" w:space="0" w:color="auto"/>
              <w:bottom w:val="single" w:sz="4" w:space="0" w:color="auto"/>
              <w:right w:val="single" w:sz="4" w:space="0" w:color="auto"/>
            </w:tcBorders>
            <w:shd w:val="clear" w:color="000000" w:fill="CABAD4"/>
            <w:noWrap/>
            <w:vAlign w:val="bottom"/>
          </w:tcPr>
          <w:p w14:paraId="16B730A5" w14:textId="77777777" w:rsidR="00811CFD" w:rsidRPr="0080375D" w:rsidRDefault="00811CF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284" w:type="dxa"/>
            <w:tcBorders>
              <w:top w:val="nil"/>
              <w:left w:val="nil"/>
              <w:bottom w:val="nil"/>
              <w:right w:val="nil"/>
            </w:tcBorders>
            <w:shd w:val="clear" w:color="auto" w:fill="auto"/>
            <w:noWrap/>
            <w:vAlign w:val="bottom"/>
          </w:tcPr>
          <w:p w14:paraId="0CD1F46C" w14:textId="77777777" w:rsidR="00811CFD" w:rsidRPr="0080375D" w:rsidRDefault="00811CF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tcPr>
          <w:p w14:paraId="6D9A9BD6" w14:textId="77777777" w:rsidR="00811CFD" w:rsidRPr="0080375D" w:rsidRDefault="00811CF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2544" w:type="dxa"/>
            <w:tcBorders>
              <w:top w:val="nil"/>
              <w:left w:val="nil"/>
              <w:bottom w:val="single" w:sz="4" w:space="0" w:color="auto"/>
              <w:right w:val="single" w:sz="4" w:space="0" w:color="auto"/>
            </w:tcBorders>
            <w:shd w:val="clear" w:color="auto" w:fill="auto"/>
            <w:noWrap/>
            <w:vAlign w:val="bottom"/>
          </w:tcPr>
          <w:p w14:paraId="5F596151" w14:textId="77777777" w:rsidR="00811CFD" w:rsidRPr="0080375D" w:rsidRDefault="00811CF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283" w:type="dxa"/>
            <w:tcBorders>
              <w:top w:val="nil"/>
              <w:left w:val="nil"/>
              <w:bottom w:val="nil"/>
              <w:right w:val="nil"/>
            </w:tcBorders>
            <w:shd w:val="clear" w:color="auto" w:fill="auto"/>
            <w:noWrap/>
            <w:vAlign w:val="bottom"/>
          </w:tcPr>
          <w:p w14:paraId="02F754F1" w14:textId="77777777" w:rsidR="00811CFD" w:rsidRPr="0080375D" w:rsidRDefault="00811CFD" w:rsidP="0080375D">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tcPr>
          <w:p w14:paraId="65826655" w14:textId="77777777" w:rsidR="00811CFD" w:rsidRPr="0080375D" w:rsidRDefault="00811CFD" w:rsidP="0080375D">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single" w:sz="4" w:space="0" w:color="auto"/>
              <w:bottom w:val="single" w:sz="4" w:space="0" w:color="auto"/>
              <w:right w:val="single" w:sz="4" w:space="0" w:color="auto"/>
            </w:tcBorders>
            <w:shd w:val="clear" w:color="auto" w:fill="auto"/>
            <w:noWrap/>
            <w:vAlign w:val="bottom"/>
          </w:tcPr>
          <w:p w14:paraId="569CC158" w14:textId="77777777" w:rsidR="00811CFD" w:rsidRPr="0080375D" w:rsidRDefault="00811CFD" w:rsidP="0080375D">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nil"/>
              <w:bottom w:val="single" w:sz="4" w:space="0" w:color="auto"/>
              <w:right w:val="single" w:sz="4" w:space="0" w:color="auto"/>
            </w:tcBorders>
            <w:shd w:val="clear" w:color="auto" w:fill="auto"/>
            <w:noWrap/>
            <w:vAlign w:val="bottom"/>
          </w:tcPr>
          <w:p w14:paraId="56B21E1D" w14:textId="77777777" w:rsidR="00811CFD" w:rsidRPr="0080375D" w:rsidRDefault="00811CFD" w:rsidP="0080375D">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41" w:type="dxa"/>
            <w:tcBorders>
              <w:top w:val="nil"/>
              <w:left w:val="nil"/>
              <w:bottom w:val="single" w:sz="4" w:space="0" w:color="auto"/>
              <w:right w:val="single" w:sz="4" w:space="0" w:color="auto"/>
            </w:tcBorders>
            <w:shd w:val="clear" w:color="auto" w:fill="auto"/>
            <w:noWrap/>
            <w:vAlign w:val="bottom"/>
          </w:tcPr>
          <w:p w14:paraId="0A3A33E0" w14:textId="77777777" w:rsidR="00811CFD" w:rsidRPr="0080375D" w:rsidRDefault="00811CFD" w:rsidP="0080375D">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14" w:type="dxa"/>
            <w:tcBorders>
              <w:top w:val="nil"/>
              <w:left w:val="nil"/>
              <w:bottom w:val="single" w:sz="4" w:space="0" w:color="auto"/>
              <w:right w:val="single" w:sz="4" w:space="0" w:color="auto"/>
            </w:tcBorders>
            <w:shd w:val="clear" w:color="auto" w:fill="auto"/>
            <w:noWrap/>
            <w:vAlign w:val="bottom"/>
          </w:tcPr>
          <w:p w14:paraId="75E4DD15" w14:textId="77777777" w:rsidR="00811CFD" w:rsidRPr="0080375D" w:rsidRDefault="00811CFD" w:rsidP="0080375D">
            <w:pPr>
              <w:overflowPunct/>
              <w:autoSpaceDE/>
              <w:autoSpaceDN/>
              <w:adjustRightInd/>
              <w:spacing w:after="0" w:line="240" w:lineRule="auto"/>
              <w:jc w:val="center"/>
              <w:textAlignment w:val="auto"/>
              <w:rPr>
                <w:rFonts w:ascii="Calibri" w:hAnsi="Calibri" w:cs="Calibri"/>
                <w:color w:val="000000"/>
                <w:szCs w:val="22"/>
                <w:lang w:eastAsia="en-GB"/>
              </w:rPr>
            </w:pPr>
          </w:p>
        </w:tc>
      </w:tr>
    </w:tbl>
    <w:p w14:paraId="238F5C08" w14:textId="77777777" w:rsidR="00D104B7" w:rsidRDefault="00D104B7" w:rsidP="0029435D">
      <w:pPr>
        <w:overflowPunct/>
        <w:autoSpaceDE/>
        <w:autoSpaceDN/>
        <w:adjustRightInd/>
        <w:spacing w:after="200" w:line="276" w:lineRule="auto"/>
        <w:jc w:val="left"/>
        <w:textAlignment w:val="auto"/>
        <w:rPr>
          <w:rFonts w:ascii="Arial" w:eastAsia="Calibri" w:hAnsi="Arial" w:cs="Arial"/>
          <w:sz w:val="24"/>
          <w:szCs w:val="22"/>
        </w:rPr>
      </w:pPr>
    </w:p>
    <w:p w14:paraId="6496CE5D" w14:textId="61092537" w:rsidR="00694467" w:rsidRDefault="00694467">
      <w:pPr>
        <w:overflowPunct/>
        <w:autoSpaceDE/>
        <w:autoSpaceDN/>
        <w:adjustRightInd/>
        <w:spacing w:after="0" w:line="240" w:lineRule="auto"/>
        <w:jc w:val="left"/>
        <w:textAlignment w:val="auto"/>
        <w:rPr>
          <w:rFonts w:ascii="Arial" w:eastAsia="Calibri" w:hAnsi="Arial" w:cs="Arial"/>
          <w:sz w:val="24"/>
          <w:szCs w:val="22"/>
        </w:rPr>
      </w:pPr>
      <w:r>
        <w:rPr>
          <w:rFonts w:ascii="Arial" w:eastAsia="Calibri" w:hAnsi="Arial" w:cs="Arial"/>
          <w:sz w:val="24"/>
          <w:szCs w:val="22"/>
        </w:rPr>
        <w:br w:type="page"/>
      </w:r>
    </w:p>
    <w:p w14:paraId="5C209E7F" w14:textId="77777777" w:rsidR="00B66C41" w:rsidRDefault="00B66C41" w:rsidP="00B66C41">
      <w:pPr>
        <w:overflowPunct/>
        <w:autoSpaceDE/>
        <w:autoSpaceDN/>
        <w:adjustRightInd/>
        <w:spacing w:after="200" w:line="276" w:lineRule="auto"/>
        <w:jc w:val="left"/>
        <w:textAlignment w:val="auto"/>
        <w:rPr>
          <w:rFonts w:ascii="Arial" w:eastAsia="Calibri" w:hAnsi="Arial" w:cs="Arial"/>
          <w:b/>
          <w:bCs/>
          <w:sz w:val="24"/>
          <w:szCs w:val="22"/>
        </w:rPr>
      </w:pPr>
      <w:r w:rsidRPr="0027218B">
        <w:rPr>
          <w:rFonts w:ascii="Arial" w:eastAsia="Calibri" w:hAnsi="Arial" w:cs="Arial"/>
          <w:b/>
          <w:bCs/>
          <w:sz w:val="24"/>
          <w:szCs w:val="22"/>
        </w:rPr>
        <w:lastRenderedPageBreak/>
        <w:t>Overtime, Unsocial Hours and On-Call Pricing</w:t>
      </w:r>
    </w:p>
    <w:p w14:paraId="6A6D5B9B" w14:textId="0DA424E1" w:rsidR="00B66C41" w:rsidRPr="0027218B" w:rsidRDefault="00B66C41" w:rsidP="00B66C41">
      <w:pPr>
        <w:overflowPunct/>
        <w:autoSpaceDE/>
        <w:autoSpaceDN/>
        <w:adjustRightInd/>
        <w:spacing w:after="200" w:line="276" w:lineRule="auto"/>
        <w:jc w:val="left"/>
        <w:textAlignment w:val="auto"/>
        <w:rPr>
          <w:rFonts w:ascii="Arial" w:eastAsia="Calibri" w:hAnsi="Arial" w:cs="Arial"/>
          <w:sz w:val="24"/>
          <w:szCs w:val="22"/>
        </w:rPr>
      </w:pPr>
      <w:r w:rsidRPr="0027218B">
        <w:rPr>
          <w:rFonts w:ascii="Arial" w:eastAsia="Calibri" w:hAnsi="Arial" w:cs="Arial"/>
          <w:sz w:val="24"/>
          <w:szCs w:val="22"/>
        </w:rPr>
        <w:t xml:space="preserve">The following </w:t>
      </w:r>
      <w:r>
        <w:rPr>
          <w:rFonts w:ascii="Arial" w:eastAsia="Calibri" w:hAnsi="Arial" w:cs="Arial"/>
          <w:sz w:val="24"/>
          <w:szCs w:val="22"/>
        </w:rPr>
        <w:t xml:space="preserve">rates </w:t>
      </w:r>
      <w:r w:rsidRPr="0027218B">
        <w:rPr>
          <w:rFonts w:ascii="Arial" w:eastAsia="Calibri" w:hAnsi="Arial" w:cs="Arial"/>
          <w:sz w:val="24"/>
          <w:szCs w:val="22"/>
        </w:rPr>
        <w:t xml:space="preserve">shall not apply, save where </w:t>
      </w:r>
      <w:r>
        <w:rPr>
          <w:rFonts w:ascii="Arial" w:eastAsia="Calibri" w:hAnsi="Arial" w:cs="Arial"/>
          <w:sz w:val="24"/>
          <w:szCs w:val="22"/>
        </w:rPr>
        <w:t xml:space="preserve">explicitly referenced </w:t>
      </w:r>
      <w:r w:rsidRPr="0027218B">
        <w:rPr>
          <w:rFonts w:ascii="Arial" w:eastAsia="Calibri" w:hAnsi="Arial" w:cs="Arial"/>
          <w:sz w:val="24"/>
          <w:szCs w:val="22"/>
        </w:rPr>
        <w:t>and agreed in a Statement of Work</w:t>
      </w:r>
      <w:r w:rsidR="00FB37F6">
        <w:rPr>
          <w:rFonts w:ascii="Arial" w:eastAsia="Calibri" w:hAnsi="Arial" w:cs="Arial"/>
          <w:sz w:val="24"/>
          <w:szCs w:val="22"/>
        </w:rPr>
        <w:t>.</w:t>
      </w:r>
      <w:r w:rsidRPr="0027218B">
        <w:rPr>
          <w:rFonts w:ascii="Arial" w:eastAsia="Calibri" w:hAnsi="Arial" w:cs="Arial"/>
          <w:sz w:val="24"/>
          <w:szCs w:val="22"/>
        </w:rPr>
        <w:t xml:space="preserve"> </w:t>
      </w:r>
    </w:p>
    <w:p w14:paraId="0060319D" w14:textId="2E13AB39" w:rsidR="00B66C41" w:rsidRDefault="00B66C41" w:rsidP="00B66C41">
      <w:pPr>
        <w:overflowPunct/>
        <w:autoSpaceDE/>
        <w:autoSpaceDN/>
        <w:adjustRightInd/>
        <w:spacing w:after="200" w:line="276" w:lineRule="auto"/>
        <w:jc w:val="left"/>
        <w:textAlignment w:val="auto"/>
        <w:rPr>
          <w:rFonts w:ascii="Arial" w:eastAsia="Calibri" w:hAnsi="Arial" w:cs="Arial"/>
          <w:sz w:val="24"/>
          <w:szCs w:val="22"/>
        </w:rPr>
      </w:pPr>
      <w:r>
        <w:rPr>
          <w:rFonts w:ascii="Arial" w:eastAsia="Calibri" w:hAnsi="Arial" w:cs="Arial"/>
          <w:sz w:val="24"/>
          <w:szCs w:val="22"/>
        </w:rPr>
        <w:t>The following formulae shall apply to the following Deliverables</w:t>
      </w:r>
      <w:r w:rsidR="00FB37F6">
        <w:rPr>
          <w:rFonts w:ascii="Arial" w:eastAsia="Calibri" w:hAnsi="Arial" w:cs="Arial"/>
          <w:sz w:val="24"/>
          <w:szCs w:val="22"/>
        </w:rPr>
        <w:t>:</w:t>
      </w:r>
    </w:p>
    <w:p w14:paraId="055C0185" w14:textId="77777777" w:rsidR="00B66C41" w:rsidRDefault="00B66C41" w:rsidP="00B66C41">
      <w:pPr>
        <w:overflowPunct/>
        <w:autoSpaceDE/>
        <w:autoSpaceDN/>
        <w:adjustRightInd/>
        <w:spacing w:after="200" w:line="276" w:lineRule="auto"/>
        <w:jc w:val="left"/>
        <w:textAlignment w:val="auto"/>
        <w:rPr>
          <w:rFonts w:ascii="Arial" w:eastAsia="Calibri" w:hAnsi="Arial" w:cs="Arial"/>
          <w:sz w:val="24"/>
          <w:szCs w:val="22"/>
        </w:rPr>
      </w:pPr>
      <w:r>
        <w:rPr>
          <w:noProof/>
          <w:lang w:eastAsia="en-GB"/>
        </w:rPr>
        <w:drawing>
          <wp:inline distT="0" distB="0" distL="0" distR="0" wp14:anchorId="49A226B3" wp14:editId="6CB38761">
            <wp:extent cx="3057525" cy="5444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0201" cy="548529"/>
                    </a:xfrm>
                    <a:prstGeom prst="rect">
                      <a:avLst/>
                    </a:prstGeom>
                  </pic:spPr>
                </pic:pic>
              </a:graphicData>
            </a:graphic>
          </wp:inline>
        </w:drawing>
      </w:r>
    </w:p>
    <w:p w14:paraId="35B3089C" w14:textId="77777777" w:rsidR="00B66C41" w:rsidRDefault="00B66C41" w:rsidP="00B66C41">
      <w:pPr>
        <w:overflowPunct/>
        <w:autoSpaceDE/>
        <w:autoSpaceDN/>
        <w:adjustRightInd/>
        <w:spacing w:after="200" w:line="276" w:lineRule="auto"/>
        <w:jc w:val="left"/>
        <w:textAlignment w:val="auto"/>
        <w:rPr>
          <w:rFonts w:ascii="Arial" w:eastAsia="Calibri" w:hAnsi="Arial" w:cs="Arial"/>
          <w:sz w:val="24"/>
          <w:szCs w:val="22"/>
        </w:rPr>
      </w:pPr>
    </w:p>
    <w:tbl>
      <w:tblPr>
        <w:tblStyle w:val="TableGrid"/>
        <w:tblW w:w="0" w:type="auto"/>
        <w:tblInd w:w="-5" w:type="dxa"/>
        <w:tblLook w:val="04A0" w:firstRow="1" w:lastRow="0" w:firstColumn="1" w:lastColumn="0" w:noHBand="0" w:noVBand="1"/>
      </w:tblPr>
      <w:tblGrid>
        <w:gridCol w:w="3929"/>
        <w:gridCol w:w="2450"/>
        <w:gridCol w:w="2642"/>
      </w:tblGrid>
      <w:tr w:rsidR="00B66C41" w14:paraId="1804DAFD" w14:textId="77777777" w:rsidTr="00467023">
        <w:tc>
          <w:tcPr>
            <w:tcW w:w="3929" w:type="dxa"/>
            <w:shd w:val="clear" w:color="auto" w:fill="D9D9D9" w:themeFill="background1" w:themeFillShade="D9"/>
          </w:tcPr>
          <w:p w14:paraId="305E20DA" w14:textId="77777777" w:rsidR="00B66C41" w:rsidRPr="00C262C8" w:rsidRDefault="00B66C41" w:rsidP="00467023">
            <w:pPr>
              <w:widowControl w:val="0"/>
              <w:tabs>
                <w:tab w:val="left" w:pos="709"/>
              </w:tabs>
              <w:spacing w:after="0" w:line="240" w:lineRule="auto"/>
              <w:rPr>
                <w:rFonts w:ascii="Arial" w:eastAsia="Arial" w:hAnsi="Arial" w:cs="Arial"/>
                <w:b/>
                <w:bCs/>
                <w:color w:val="000000"/>
                <w:sz w:val="24"/>
                <w:szCs w:val="24"/>
              </w:rPr>
            </w:pPr>
            <w:r w:rsidRPr="00C262C8">
              <w:rPr>
                <w:rFonts w:ascii="Arial" w:eastAsia="Arial" w:hAnsi="Arial" w:cs="Arial"/>
                <w:b/>
                <w:bCs/>
                <w:color w:val="000000"/>
                <w:sz w:val="24"/>
                <w:szCs w:val="24"/>
              </w:rPr>
              <w:t>Topic</w:t>
            </w:r>
          </w:p>
        </w:tc>
        <w:tc>
          <w:tcPr>
            <w:tcW w:w="2450" w:type="dxa"/>
            <w:shd w:val="clear" w:color="auto" w:fill="D9D9D9" w:themeFill="background1" w:themeFillShade="D9"/>
          </w:tcPr>
          <w:p w14:paraId="261F062A" w14:textId="77777777" w:rsidR="00B66C41" w:rsidRDefault="00B66C41" w:rsidP="00467023">
            <w:pPr>
              <w:widowControl w:val="0"/>
              <w:tabs>
                <w:tab w:val="left" w:pos="709"/>
              </w:tabs>
              <w:spacing w:after="0" w:line="240" w:lineRule="auto"/>
              <w:jc w:val="center"/>
              <w:rPr>
                <w:rFonts w:ascii="Arial" w:eastAsia="Arial" w:hAnsi="Arial" w:cs="Arial"/>
                <w:b/>
                <w:bCs/>
                <w:color w:val="000000"/>
                <w:sz w:val="24"/>
                <w:szCs w:val="24"/>
              </w:rPr>
            </w:pPr>
            <w:r>
              <w:rPr>
                <w:rFonts w:ascii="Arial" w:eastAsia="Arial" w:hAnsi="Arial" w:cs="Arial"/>
                <w:b/>
                <w:bCs/>
                <w:color w:val="000000"/>
                <w:sz w:val="24"/>
                <w:szCs w:val="24"/>
              </w:rPr>
              <w:t>Supplier Charge Where Utilising Existing Team Staff</w:t>
            </w:r>
          </w:p>
        </w:tc>
        <w:tc>
          <w:tcPr>
            <w:tcW w:w="2642" w:type="dxa"/>
            <w:shd w:val="clear" w:color="auto" w:fill="D9D9D9" w:themeFill="background1" w:themeFillShade="D9"/>
          </w:tcPr>
          <w:p w14:paraId="0FD87EE8" w14:textId="77777777" w:rsidR="00B66C41" w:rsidRDefault="00B66C41" w:rsidP="00467023">
            <w:pPr>
              <w:widowControl w:val="0"/>
              <w:tabs>
                <w:tab w:val="left" w:pos="709"/>
              </w:tabs>
              <w:spacing w:after="0" w:line="240" w:lineRule="auto"/>
              <w:jc w:val="center"/>
              <w:rPr>
                <w:rFonts w:ascii="Arial" w:eastAsia="Arial" w:hAnsi="Arial" w:cs="Arial"/>
                <w:b/>
                <w:bCs/>
                <w:color w:val="000000"/>
                <w:sz w:val="24"/>
                <w:szCs w:val="24"/>
              </w:rPr>
            </w:pPr>
            <w:r w:rsidRPr="00C262C8">
              <w:rPr>
                <w:rFonts w:ascii="Arial" w:eastAsia="Arial" w:hAnsi="Arial" w:cs="Arial"/>
                <w:b/>
                <w:bCs/>
                <w:color w:val="000000"/>
                <w:sz w:val="24"/>
                <w:szCs w:val="24"/>
              </w:rPr>
              <w:t>Supplier Charge</w:t>
            </w:r>
            <w:r>
              <w:rPr>
                <w:rFonts w:ascii="Arial" w:eastAsia="Arial" w:hAnsi="Arial" w:cs="Arial"/>
                <w:b/>
                <w:bCs/>
                <w:color w:val="000000"/>
                <w:sz w:val="24"/>
                <w:szCs w:val="24"/>
              </w:rPr>
              <w:t xml:space="preserve"> Where Additional Staff Retained</w:t>
            </w:r>
          </w:p>
          <w:p w14:paraId="0F3C513A" w14:textId="2A295CC3" w:rsidR="00B66C41" w:rsidRDefault="00B66C41" w:rsidP="00467023">
            <w:pPr>
              <w:widowControl w:val="0"/>
              <w:tabs>
                <w:tab w:val="left" w:pos="709"/>
              </w:tabs>
              <w:spacing w:after="0" w:line="240" w:lineRule="auto"/>
              <w:jc w:val="center"/>
              <w:rPr>
                <w:rFonts w:ascii="Arial" w:eastAsia="Arial" w:hAnsi="Arial" w:cs="Arial"/>
                <w:b/>
                <w:bCs/>
                <w:color w:val="000000"/>
                <w:sz w:val="24"/>
                <w:szCs w:val="24"/>
              </w:rPr>
            </w:pPr>
          </w:p>
        </w:tc>
      </w:tr>
      <w:tr w:rsidR="00B66C41" w14:paraId="073CB67E" w14:textId="77777777" w:rsidTr="00467023">
        <w:tc>
          <w:tcPr>
            <w:tcW w:w="3929" w:type="dxa"/>
          </w:tcPr>
          <w:p w14:paraId="0D51E93D" w14:textId="41404D1B" w:rsidR="00B66C41" w:rsidRPr="00626CDC" w:rsidRDefault="00B66C41" w:rsidP="00467023">
            <w:pPr>
              <w:widowControl w:val="0"/>
              <w:tabs>
                <w:tab w:val="left" w:pos="709"/>
              </w:tabs>
              <w:spacing w:after="0" w:line="240" w:lineRule="auto"/>
              <w:jc w:val="left"/>
              <w:rPr>
                <w:rFonts w:ascii="Arial" w:eastAsia="Arial" w:hAnsi="Arial" w:cs="Arial"/>
                <w:color w:val="000000"/>
                <w:sz w:val="20"/>
              </w:rPr>
            </w:pPr>
            <w:r w:rsidRPr="00626CDC">
              <w:rPr>
                <w:rFonts w:ascii="Arial" w:eastAsia="Arial" w:hAnsi="Arial" w:cs="Arial"/>
                <w:color w:val="000000"/>
                <w:sz w:val="20"/>
              </w:rPr>
              <w:t xml:space="preserve">Unapproved </w:t>
            </w:r>
            <w:r w:rsidR="00F90816">
              <w:rPr>
                <w:rFonts w:ascii="Arial" w:eastAsia="Arial" w:hAnsi="Arial" w:cs="Arial"/>
                <w:color w:val="000000"/>
                <w:sz w:val="20"/>
              </w:rPr>
              <w:t>O</w:t>
            </w:r>
            <w:r w:rsidRPr="00626CDC">
              <w:rPr>
                <w:rFonts w:ascii="Arial" w:eastAsia="Arial" w:hAnsi="Arial" w:cs="Arial"/>
                <w:color w:val="000000"/>
                <w:sz w:val="20"/>
              </w:rPr>
              <w:t>vertime</w:t>
            </w:r>
          </w:p>
        </w:tc>
        <w:tc>
          <w:tcPr>
            <w:tcW w:w="2450" w:type="dxa"/>
          </w:tcPr>
          <w:p w14:paraId="1A6D8E06" w14:textId="77777777" w:rsidR="00B66C41" w:rsidRPr="00626CDC" w:rsidRDefault="00B66C41" w:rsidP="00467023">
            <w:pPr>
              <w:widowControl w:val="0"/>
              <w:tabs>
                <w:tab w:val="left" w:pos="709"/>
              </w:tabs>
              <w:spacing w:after="0" w:line="240" w:lineRule="auto"/>
              <w:jc w:val="center"/>
              <w:rPr>
                <w:rFonts w:ascii="Arial" w:eastAsia="Arial" w:hAnsi="Arial" w:cs="Arial"/>
                <w:color w:val="000000"/>
                <w:sz w:val="20"/>
              </w:rPr>
            </w:pPr>
            <w:r w:rsidRPr="00626CDC">
              <w:rPr>
                <w:rFonts w:ascii="Arial" w:eastAsia="Arial" w:hAnsi="Arial" w:cs="Arial"/>
                <w:color w:val="000000"/>
                <w:sz w:val="20"/>
              </w:rPr>
              <w:t>No additional charge</w:t>
            </w:r>
          </w:p>
        </w:tc>
        <w:tc>
          <w:tcPr>
            <w:tcW w:w="2642" w:type="dxa"/>
          </w:tcPr>
          <w:p w14:paraId="77EE2CE1" w14:textId="77777777" w:rsidR="00B66C41" w:rsidRPr="00626CDC" w:rsidRDefault="00B66C41" w:rsidP="00467023">
            <w:pPr>
              <w:widowControl w:val="0"/>
              <w:tabs>
                <w:tab w:val="left" w:pos="709"/>
              </w:tabs>
              <w:spacing w:after="0" w:line="240" w:lineRule="auto"/>
              <w:jc w:val="center"/>
              <w:rPr>
                <w:rFonts w:ascii="Arial" w:eastAsia="Arial" w:hAnsi="Arial" w:cs="Arial"/>
                <w:color w:val="000000"/>
                <w:sz w:val="20"/>
              </w:rPr>
            </w:pPr>
            <w:r w:rsidRPr="00626CDC">
              <w:rPr>
                <w:rFonts w:ascii="Arial" w:eastAsia="Arial" w:hAnsi="Arial" w:cs="Arial"/>
                <w:color w:val="000000"/>
                <w:sz w:val="20"/>
              </w:rPr>
              <w:t>No additional charge</w:t>
            </w:r>
          </w:p>
        </w:tc>
      </w:tr>
      <w:tr w:rsidR="00B66C41" w14:paraId="68921846" w14:textId="77777777" w:rsidTr="00467023">
        <w:tc>
          <w:tcPr>
            <w:tcW w:w="3929" w:type="dxa"/>
          </w:tcPr>
          <w:p w14:paraId="3F31B1E7" w14:textId="383BDD47" w:rsidR="00B66C41" w:rsidRPr="00626CDC" w:rsidRDefault="00B66C41" w:rsidP="00467023">
            <w:pPr>
              <w:widowControl w:val="0"/>
              <w:tabs>
                <w:tab w:val="left" w:pos="709"/>
              </w:tabs>
              <w:spacing w:after="0" w:line="240" w:lineRule="auto"/>
              <w:jc w:val="left"/>
              <w:rPr>
                <w:rFonts w:ascii="Arial" w:eastAsia="Arial" w:hAnsi="Arial" w:cs="Arial"/>
                <w:color w:val="000000"/>
                <w:sz w:val="20"/>
              </w:rPr>
            </w:pPr>
            <w:r w:rsidRPr="00626CDC">
              <w:rPr>
                <w:rFonts w:ascii="Arial" w:eastAsia="Arial" w:hAnsi="Arial" w:cs="Arial"/>
                <w:color w:val="000000"/>
                <w:sz w:val="20"/>
              </w:rPr>
              <w:t xml:space="preserve">Overtime agreed with the Buyer </w:t>
            </w:r>
            <w:r w:rsidR="0099568D">
              <w:rPr>
                <w:rFonts w:ascii="Arial" w:eastAsia="Arial" w:hAnsi="Arial" w:cs="Arial"/>
                <w:color w:val="000000"/>
                <w:sz w:val="20"/>
              </w:rPr>
              <w:t xml:space="preserve">in a SOW </w:t>
            </w:r>
            <w:r w:rsidRPr="00626CDC">
              <w:rPr>
                <w:rFonts w:ascii="Arial" w:eastAsia="Arial" w:hAnsi="Arial" w:cs="Arial"/>
                <w:color w:val="000000"/>
                <w:sz w:val="20"/>
              </w:rPr>
              <w:t>within social hours</w:t>
            </w:r>
            <w:r w:rsidR="0099568D">
              <w:rPr>
                <w:rFonts w:ascii="Arial" w:eastAsia="Arial" w:hAnsi="Arial" w:cs="Arial"/>
                <w:color w:val="000000"/>
                <w:sz w:val="20"/>
              </w:rPr>
              <w:t xml:space="preserve"> </w:t>
            </w:r>
          </w:p>
        </w:tc>
        <w:tc>
          <w:tcPr>
            <w:tcW w:w="2450" w:type="dxa"/>
          </w:tcPr>
          <w:p w14:paraId="7082B23F" w14:textId="77777777" w:rsidR="00B66C41" w:rsidRPr="00626CDC" w:rsidRDefault="00B66C41" w:rsidP="00467023">
            <w:pPr>
              <w:widowControl w:val="0"/>
              <w:tabs>
                <w:tab w:val="left" w:pos="709"/>
              </w:tabs>
              <w:spacing w:after="0" w:line="240" w:lineRule="auto"/>
              <w:jc w:val="center"/>
              <w:rPr>
                <w:rFonts w:ascii="Arial" w:eastAsia="Arial" w:hAnsi="Arial" w:cs="Arial"/>
                <w:color w:val="000000"/>
                <w:sz w:val="20"/>
              </w:rPr>
            </w:pPr>
            <w:r w:rsidRPr="00626CDC">
              <w:rPr>
                <w:rFonts w:ascii="Arial" w:eastAsia="Arial" w:hAnsi="Arial" w:cs="Arial"/>
                <w:color w:val="000000"/>
                <w:sz w:val="20"/>
              </w:rPr>
              <w:t>2X per additional hour</w:t>
            </w:r>
          </w:p>
        </w:tc>
        <w:tc>
          <w:tcPr>
            <w:tcW w:w="2642" w:type="dxa"/>
          </w:tcPr>
          <w:p w14:paraId="60FD1817" w14:textId="77777777" w:rsidR="00B66C41" w:rsidRPr="00626CDC" w:rsidRDefault="00B66C41" w:rsidP="00467023">
            <w:pPr>
              <w:widowControl w:val="0"/>
              <w:tabs>
                <w:tab w:val="left" w:pos="709"/>
              </w:tabs>
              <w:spacing w:after="0" w:line="240" w:lineRule="auto"/>
              <w:jc w:val="center"/>
              <w:rPr>
                <w:rFonts w:ascii="Arial" w:eastAsia="Arial" w:hAnsi="Arial" w:cs="Arial"/>
                <w:color w:val="000000"/>
                <w:sz w:val="20"/>
              </w:rPr>
            </w:pPr>
            <w:r w:rsidRPr="00626CDC">
              <w:rPr>
                <w:rFonts w:ascii="Arial" w:eastAsia="Arial" w:hAnsi="Arial" w:cs="Arial"/>
                <w:color w:val="000000"/>
                <w:sz w:val="20"/>
              </w:rPr>
              <w:t>2X per hour</w:t>
            </w:r>
          </w:p>
        </w:tc>
      </w:tr>
      <w:tr w:rsidR="00B66C41" w14:paraId="7EDB5068" w14:textId="77777777" w:rsidTr="00467023">
        <w:tc>
          <w:tcPr>
            <w:tcW w:w="3929" w:type="dxa"/>
          </w:tcPr>
          <w:p w14:paraId="47BA212D" w14:textId="77777777" w:rsidR="00B66C41" w:rsidRPr="00626CDC" w:rsidRDefault="00B66C41" w:rsidP="00467023">
            <w:pPr>
              <w:widowControl w:val="0"/>
              <w:tabs>
                <w:tab w:val="left" w:pos="709"/>
              </w:tabs>
              <w:spacing w:after="0" w:line="240" w:lineRule="auto"/>
              <w:jc w:val="left"/>
              <w:rPr>
                <w:rFonts w:ascii="Arial" w:eastAsia="Arial" w:hAnsi="Arial" w:cs="Arial"/>
                <w:color w:val="000000"/>
                <w:sz w:val="20"/>
              </w:rPr>
            </w:pPr>
            <w:r w:rsidRPr="00626CDC">
              <w:rPr>
                <w:rFonts w:ascii="Arial" w:eastAsia="Arial" w:hAnsi="Arial" w:cs="Arial"/>
                <w:color w:val="000000"/>
                <w:sz w:val="20"/>
              </w:rPr>
              <w:t>On-Call uplift</w:t>
            </w:r>
          </w:p>
        </w:tc>
        <w:tc>
          <w:tcPr>
            <w:tcW w:w="2450" w:type="dxa"/>
          </w:tcPr>
          <w:p w14:paraId="4A979CD4"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4% (2X * period)</w:t>
            </w:r>
          </w:p>
        </w:tc>
        <w:tc>
          <w:tcPr>
            <w:tcW w:w="2642" w:type="dxa"/>
          </w:tcPr>
          <w:p w14:paraId="356856EB"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4%(2X * period)</w:t>
            </w:r>
          </w:p>
        </w:tc>
      </w:tr>
      <w:tr w:rsidR="00B66C41" w14:paraId="2D3555BB" w14:textId="77777777" w:rsidTr="00467023">
        <w:tc>
          <w:tcPr>
            <w:tcW w:w="3929" w:type="dxa"/>
          </w:tcPr>
          <w:p w14:paraId="3EA89A38" w14:textId="77777777" w:rsidR="00B66C41" w:rsidRPr="00626CDC" w:rsidRDefault="00B66C41" w:rsidP="00467023">
            <w:pPr>
              <w:widowControl w:val="0"/>
              <w:tabs>
                <w:tab w:val="left" w:pos="709"/>
              </w:tabs>
              <w:spacing w:after="0" w:line="240" w:lineRule="auto"/>
              <w:jc w:val="left"/>
              <w:rPr>
                <w:rFonts w:ascii="Arial" w:eastAsia="Arial" w:hAnsi="Arial" w:cs="Arial"/>
                <w:color w:val="000000"/>
                <w:sz w:val="20"/>
              </w:rPr>
            </w:pPr>
            <w:r w:rsidRPr="00626CDC">
              <w:rPr>
                <w:rFonts w:ascii="Arial" w:eastAsia="Arial" w:hAnsi="Arial" w:cs="Arial"/>
                <w:color w:val="000000"/>
                <w:sz w:val="20"/>
              </w:rPr>
              <w:t>Weekday/Saturday unsocial premium call out fee</w:t>
            </w:r>
          </w:p>
        </w:tc>
        <w:tc>
          <w:tcPr>
            <w:tcW w:w="2450" w:type="dxa"/>
          </w:tcPr>
          <w:p w14:paraId="65313AAC"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X per half hour,</w:t>
            </w:r>
          </w:p>
          <w:p w14:paraId="2CA4BAA4"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multiplied by [10%]</w:t>
            </w:r>
          </w:p>
        </w:tc>
        <w:tc>
          <w:tcPr>
            <w:tcW w:w="2642" w:type="dxa"/>
          </w:tcPr>
          <w:p w14:paraId="4698FD78"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X per half hour,</w:t>
            </w:r>
          </w:p>
          <w:p w14:paraId="7640C0E7" w14:textId="77777777" w:rsidR="00B66C41" w:rsidRPr="00B4440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B44406">
              <w:rPr>
                <w:rFonts w:ascii="Arial" w:eastAsia="Arial" w:hAnsi="Arial" w:cs="Arial"/>
                <w:color w:val="000000"/>
                <w:sz w:val="20"/>
                <w:highlight w:val="yellow"/>
              </w:rPr>
              <w:t>multiplied by [10%]</w:t>
            </w:r>
          </w:p>
        </w:tc>
      </w:tr>
      <w:tr w:rsidR="00B66C41" w14:paraId="1BE41263" w14:textId="77777777" w:rsidTr="00467023">
        <w:tc>
          <w:tcPr>
            <w:tcW w:w="3929" w:type="dxa"/>
          </w:tcPr>
          <w:p w14:paraId="7226AB7E" w14:textId="77777777" w:rsidR="00B66C41" w:rsidRPr="00626CDC" w:rsidRDefault="00B66C41" w:rsidP="00467023">
            <w:pPr>
              <w:widowControl w:val="0"/>
              <w:tabs>
                <w:tab w:val="left" w:pos="709"/>
              </w:tabs>
              <w:spacing w:after="0" w:line="240" w:lineRule="auto"/>
              <w:jc w:val="left"/>
              <w:rPr>
                <w:rFonts w:ascii="Arial" w:eastAsia="Arial" w:hAnsi="Arial" w:cs="Arial"/>
                <w:color w:val="000000"/>
                <w:sz w:val="20"/>
              </w:rPr>
            </w:pPr>
            <w:r w:rsidRPr="00626CDC">
              <w:rPr>
                <w:rFonts w:ascii="Arial" w:eastAsia="Arial" w:hAnsi="Arial" w:cs="Arial"/>
                <w:color w:val="000000"/>
                <w:sz w:val="20"/>
              </w:rPr>
              <w:t>Sunday/Public Holiday unsocial premium call out fee</w:t>
            </w:r>
          </w:p>
        </w:tc>
        <w:tc>
          <w:tcPr>
            <w:tcW w:w="2450" w:type="dxa"/>
          </w:tcPr>
          <w:p w14:paraId="508DE254" w14:textId="77777777" w:rsidR="00B66C41" w:rsidRPr="00032C1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032C16">
              <w:rPr>
                <w:rFonts w:ascii="Arial" w:eastAsia="Arial" w:hAnsi="Arial" w:cs="Arial"/>
                <w:color w:val="000000"/>
                <w:sz w:val="20"/>
                <w:highlight w:val="yellow"/>
              </w:rPr>
              <w:t>X per half hour</w:t>
            </w:r>
          </w:p>
          <w:p w14:paraId="6E309D89" w14:textId="77777777" w:rsidR="00B66C41" w:rsidRPr="00032C1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032C16">
              <w:rPr>
                <w:rFonts w:ascii="Arial" w:eastAsia="Arial" w:hAnsi="Arial" w:cs="Arial"/>
                <w:color w:val="000000"/>
                <w:sz w:val="20"/>
                <w:highlight w:val="yellow"/>
              </w:rPr>
              <w:t>multiplied by [10%]</w:t>
            </w:r>
          </w:p>
        </w:tc>
        <w:tc>
          <w:tcPr>
            <w:tcW w:w="2642" w:type="dxa"/>
          </w:tcPr>
          <w:p w14:paraId="5A18759F" w14:textId="77777777" w:rsidR="00B66C41" w:rsidRPr="00032C1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032C16">
              <w:rPr>
                <w:rFonts w:ascii="Arial" w:eastAsia="Arial" w:hAnsi="Arial" w:cs="Arial"/>
                <w:color w:val="000000"/>
                <w:sz w:val="20"/>
                <w:highlight w:val="yellow"/>
              </w:rPr>
              <w:t>X per half hour</w:t>
            </w:r>
          </w:p>
          <w:p w14:paraId="7765417B" w14:textId="77777777" w:rsidR="00B66C41" w:rsidRPr="00032C16" w:rsidRDefault="00B66C41" w:rsidP="00467023">
            <w:pPr>
              <w:widowControl w:val="0"/>
              <w:tabs>
                <w:tab w:val="left" w:pos="709"/>
              </w:tabs>
              <w:spacing w:after="0" w:line="240" w:lineRule="auto"/>
              <w:jc w:val="center"/>
              <w:rPr>
                <w:rFonts w:ascii="Arial" w:eastAsia="Arial" w:hAnsi="Arial" w:cs="Arial"/>
                <w:color w:val="000000"/>
                <w:sz w:val="20"/>
                <w:highlight w:val="yellow"/>
              </w:rPr>
            </w:pPr>
            <w:r w:rsidRPr="00032C16">
              <w:rPr>
                <w:rFonts w:ascii="Arial" w:eastAsia="Arial" w:hAnsi="Arial" w:cs="Arial"/>
                <w:color w:val="000000"/>
                <w:sz w:val="20"/>
                <w:highlight w:val="yellow"/>
              </w:rPr>
              <w:t>multiplied by [10%]</w:t>
            </w:r>
          </w:p>
          <w:p w14:paraId="028DFB08" w14:textId="77777777" w:rsidR="00B66C41" w:rsidRPr="00032C16" w:rsidRDefault="00B66C41" w:rsidP="00467023">
            <w:pPr>
              <w:widowControl w:val="0"/>
              <w:tabs>
                <w:tab w:val="left" w:pos="709"/>
              </w:tabs>
              <w:spacing w:after="0" w:line="240" w:lineRule="auto"/>
              <w:jc w:val="center"/>
              <w:rPr>
                <w:rFonts w:ascii="Arial" w:eastAsia="Arial" w:hAnsi="Arial" w:cs="Arial"/>
                <w:color w:val="000000"/>
                <w:sz w:val="20"/>
                <w:highlight w:val="yellow"/>
              </w:rPr>
            </w:pPr>
          </w:p>
        </w:tc>
      </w:tr>
    </w:tbl>
    <w:p w14:paraId="17A22774" w14:textId="77777777" w:rsidR="00B66C41" w:rsidRDefault="00B66C41" w:rsidP="00B66C41">
      <w:pPr>
        <w:pStyle w:val="GPSL2Numbered"/>
      </w:pPr>
    </w:p>
    <w:p w14:paraId="42D03C32" w14:textId="77777777" w:rsidR="00B66C41" w:rsidRDefault="00B66C41" w:rsidP="00B66C41">
      <w:pPr>
        <w:overflowPunct/>
        <w:autoSpaceDE/>
        <w:autoSpaceDN/>
        <w:adjustRightInd/>
        <w:spacing w:after="0" w:line="240" w:lineRule="auto"/>
        <w:jc w:val="left"/>
        <w:textAlignment w:val="auto"/>
        <w:rPr>
          <w:rFonts w:ascii="Arial" w:hAnsi="Arial"/>
          <w:b/>
          <w:bCs/>
          <w:kern w:val="32"/>
          <w:sz w:val="36"/>
        </w:rPr>
      </w:pPr>
      <w:r>
        <w:br w:type="page"/>
      </w:r>
    </w:p>
    <w:p w14:paraId="357076D5" w14:textId="77777777" w:rsidR="00E3506B" w:rsidRDefault="00E3506B" w:rsidP="00CC4D45">
      <w:pPr>
        <w:pStyle w:val="GPSL2Numbered"/>
      </w:pPr>
    </w:p>
    <w:p w14:paraId="3F4C97B9" w14:textId="40C16CAB" w:rsidR="007101CA" w:rsidRDefault="004E61C0" w:rsidP="00CC4D45">
      <w:pPr>
        <w:pStyle w:val="GPSL2Numbered"/>
      </w:pPr>
      <w:r>
        <w:t>Annex 2</w:t>
      </w:r>
      <w:r w:rsidRPr="00840AE8">
        <w:t xml:space="preserve"> (</w:t>
      </w:r>
      <w:r w:rsidR="007101CA">
        <w:t>Exceptional Technology Adjustments</w:t>
      </w:r>
      <w:r w:rsidRPr="00840AE8">
        <w:t>)</w:t>
      </w:r>
    </w:p>
    <w:p w14:paraId="1306774F" w14:textId="77777777" w:rsidR="0075485F" w:rsidRDefault="00E8326C" w:rsidP="00953498">
      <w:pPr>
        <w:pStyle w:val="BodyTextIndent"/>
        <w:ind w:left="0"/>
      </w:pPr>
      <w:r>
        <w:t xml:space="preserve">A table similar to the following shall be used to capture </w:t>
      </w:r>
      <w:r w:rsidR="0075485F">
        <w:t xml:space="preserve">any agreed </w:t>
      </w:r>
      <w:r w:rsidR="00953498">
        <w:t>technology adjustments.</w:t>
      </w:r>
      <w:r w:rsidR="006E4AF1">
        <w:t xml:space="preserve"> </w:t>
      </w:r>
    </w:p>
    <w:p w14:paraId="0D1D1CBE" w14:textId="55FAD692" w:rsidR="00CC4D45" w:rsidRPr="00E8326C" w:rsidRDefault="006E4AF1" w:rsidP="00953498">
      <w:pPr>
        <w:pStyle w:val="BodyTextIndent"/>
        <w:ind w:left="0"/>
      </w:pPr>
      <w:r>
        <w:t xml:space="preserve">This table is provided as an example and </w:t>
      </w:r>
      <w:r w:rsidR="00754407">
        <w:t xml:space="preserve">may be subject to change throughout the life of the Contract. </w:t>
      </w:r>
    </w:p>
    <w:tbl>
      <w:tblPr>
        <w:tblW w:w="9242" w:type="dxa"/>
        <w:tblLook w:val="04A0" w:firstRow="1" w:lastRow="0" w:firstColumn="1" w:lastColumn="0" w:noHBand="0" w:noVBand="1"/>
      </w:tblPr>
      <w:tblGrid>
        <w:gridCol w:w="1123"/>
        <w:gridCol w:w="283"/>
        <w:gridCol w:w="1425"/>
        <w:gridCol w:w="2517"/>
        <w:gridCol w:w="282"/>
        <w:gridCol w:w="732"/>
        <w:gridCol w:w="1492"/>
        <w:gridCol w:w="1388"/>
      </w:tblGrid>
      <w:tr w:rsidR="00921934" w:rsidRPr="0080375D" w14:paraId="66637D51" w14:textId="77777777" w:rsidTr="00A11DE5">
        <w:trPr>
          <w:trHeight w:val="1277"/>
        </w:trPr>
        <w:tc>
          <w:tcPr>
            <w:tcW w:w="1123" w:type="dxa"/>
            <w:tcBorders>
              <w:top w:val="single" w:sz="4" w:space="0" w:color="auto"/>
              <w:left w:val="single" w:sz="4" w:space="0" w:color="auto"/>
              <w:bottom w:val="single" w:sz="4" w:space="0" w:color="auto"/>
              <w:right w:val="single" w:sz="4" w:space="0" w:color="auto"/>
            </w:tcBorders>
            <w:shd w:val="clear" w:color="000000" w:fill="C65911"/>
            <w:noWrap/>
            <w:vAlign w:val="bottom"/>
            <w:hideMark/>
          </w:tcPr>
          <w:p w14:paraId="5108D713"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DDaT Cluster</w:t>
            </w:r>
          </w:p>
        </w:tc>
        <w:tc>
          <w:tcPr>
            <w:tcW w:w="283" w:type="dxa"/>
            <w:tcBorders>
              <w:top w:val="nil"/>
              <w:left w:val="nil"/>
              <w:bottom w:val="nil"/>
              <w:right w:val="nil"/>
            </w:tcBorders>
            <w:shd w:val="clear" w:color="auto" w:fill="auto"/>
            <w:hideMark/>
          </w:tcPr>
          <w:p w14:paraId="5B2FC5CC"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000000" w:fill="C65911"/>
            <w:noWrap/>
            <w:vAlign w:val="bottom"/>
            <w:hideMark/>
          </w:tcPr>
          <w:p w14:paraId="52C41167"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Role Family</w:t>
            </w:r>
          </w:p>
        </w:tc>
        <w:tc>
          <w:tcPr>
            <w:tcW w:w="2517" w:type="dxa"/>
            <w:tcBorders>
              <w:top w:val="single" w:sz="4" w:space="0" w:color="auto"/>
              <w:left w:val="nil"/>
              <w:bottom w:val="single" w:sz="4" w:space="0" w:color="auto"/>
              <w:right w:val="single" w:sz="4" w:space="0" w:color="auto"/>
            </w:tcBorders>
            <w:shd w:val="clear" w:color="000000" w:fill="C65911"/>
            <w:noWrap/>
            <w:vAlign w:val="bottom"/>
            <w:hideMark/>
          </w:tcPr>
          <w:p w14:paraId="46DC84A5"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DDaT Role</w:t>
            </w:r>
          </w:p>
        </w:tc>
        <w:tc>
          <w:tcPr>
            <w:tcW w:w="282" w:type="dxa"/>
            <w:tcBorders>
              <w:top w:val="nil"/>
              <w:left w:val="nil"/>
              <w:bottom w:val="nil"/>
              <w:right w:val="nil"/>
            </w:tcBorders>
            <w:shd w:val="clear" w:color="auto" w:fill="auto"/>
            <w:hideMark/>
          </w:tcPr>
          <w:p w14:paraId="14D97AD2"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732" w:type="dxa"/>
            <w:tcBorders>
              <w:top w:val="single" w:sz="4" w:space="0" w:color="auto"/>
              <w:left w:val="single" w:sz="4" w:space="0" w:color="auto"/>
              <w:bottom w:val="single" w:sz="4" w:space="0" w:color="auto"/>
              <w:right w:val="single" w:sz="4" w:space="0" w:color="auto"/>
            </w:tcBorders>
            <w:shd w:val="clear" w:color="000000" w:fill="C65911"/>
            <w:vAlign w:val="bottom"/>
            <w:hideMark/>
          </w:tcPr>
          <w:p w14:paraId="76498BB3"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r w:rsidRPr="0080375D">
              <w:rPr>
                <w:rFonts w:ascii="Calibri" w:hAnsi="Calibri" w:cs="Calibri"/>
                <w:b/>
                <w:bCs/>
                <w:color w:val="FFFFFF"/>
                <w:sz w:val="24"/>
                <w:szCs w:val="24"/>
                <w:lang w:eastAsia="en-GB"/>
              </w:rPr>
              <w:t>SFIA</w:t>
            </w:r>
            <w:r w:rsidRPr="0080375D">
              <w:rPr>
                <w:rFonts w:ascii="Calibri" w:hAnsi="Calibri" w:cs="Calibri"/>
                <w:b/>
                <w:bCs/>
                <w:color w:val="FFFFFF"/>
                <w:sz w:val="24"/>
                <w:szCs w:val="24"/>
                <w:lang w:eastAsia="en-GB"/>
              </w:rPr>
              <w:br/>
              <w:t>Role Level</w:t>
            </w:r>
          </w:p>
        </w:tc>
        <w:tc>
          <w:tcPr>
            <w:tcW w:w="1571" w:type="dxa"/>
            <w:tcBorders>
              <w:top w:val="single" w:sz="4" w:space="0" w:color="auto"/>
              <w:left w:val="single" w:sz="4" w:space="0" w:color="auto"/>
              <w:bottom w:val="single" w:sz="4" w:space="0" w:color="auto"/>
              <w:right w:val="single" w:sz="4" w:space="0" w:color="auto"/>
            </w:tcBorders>
            <w:shd w:val="clear" w:color="000000" w:fill="00B050"/>
            <w:vAlign w:val="bottom"/>
          </w:tcPr>
          <w:p w14:paraId="25BB0012" w14:textId="5B6D0801" w:rsidR="00921934" w:rsidRPr="0080375D" w:rsidRDefault="00921934" w:rsidP="00983193">
            <w:pPr>
              <w:overflowPunct/>
              <w:autoSpaceDE/>
              <w:autoSpaceDN/>
              <w:adjustRightInd/>
              <w:spacing w:after="0" w:line="240" w:lineRule="auto"/>
              <w:jc w:val="center"/>
              <w:textAlignment w:val="auto"/>
              <w:rPr>
                <w:rFonts w:ascii="Calibri" w:hAnsi="Calibri" w:cs="Calibri"/>
                <w:b/>
                <w:bCs/>
                <w:color w:val="FFFFFF"/>
                <w:sz w:val="24"/>
                <w:szCs w:val="24"/>
                <w:lang w:eastAsia="en-GB"/>
              </w:rPr>
            </w:pPr>
            <w:r>
              <w:rPr>
                <w:rFonts w:ascii="Calibri" w:hAnsi="Calibri" w:cs="Calibri"/>
                <w:b/>
                <w:bCs/>
                <w:color w:val="FFFFFF"/>
                <w:sz w:val="24"/>
                <w:szCs w:val="24"/>
                <w:lang w:eastAsia="en-GB"/>
              </w:rPr>
              <w:t>Named Technology</w:t>
            </w:r>
          </w:p>
        </w:tc>
        <w:tc>
          <w:tcPr>
            <w:tcW w:w="130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7E8141D1" w14:textId="0965B56A"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r>
              <w:rPr>
                <w:rFonts w:ascii="Calibri" w:hAnsi="Calibri" w:cs="Calibri"/>
                <w:b/>
                <w:bCs/>
                <w:color w:val="FFFFFF"/>
                <w:sz w:val="24"/>
                <w:szCs w:val="24"/>
                <w:lang w:eastAsia="en-GB"/>
              </w:rPr>
              <w:t>Adjustment in Percent</w:t>
            </w:r>
          </w:p>
        </w:tc>
      </w:tr>
      <w:tr w:rsidR="00921934" w:rsidRPr="0080375D" w14:paraId="4C6DB621" w14:textId="77777777" w:rsidTr="00A11DE5">
        <w:trPr>
          <w:trHeight w:val="315"/>
        </w:trPr>
        <w:tc>
          <w:tcPr>
            <w:tcW w:w="1123" w:type="dxa"/>
            <w:tcBorders>
              <w:top w:val="nil"/>
              <w:left w:val="nil"/>
              <w:bottom w:val="nil"/>
              <w:right w:val="nil"/>
            </w:tcBorders>
            <w:shd w:val="clear" w:color="auto" w:fill="auto"/>
            <w:vAlign w:val="bottom"/>
            <w:hideMark/>
          </w:tcPr>
          <w:p w14:paraId="11CB758E"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b/>
                <w:bCs/>
                <w:color w:val="FFFFFF"/>
                <w:sz w:val="24"/>
                <w:szCs w:val="24"/>
                <w:lang w:eastAsia="en-GB"/>
              </w:rPr>
            </w:pPr>
          </w:p>
        </w:tc>
        <w:tc>
          <w:tcPr>
            <w:tcW w:w="283" w:type="dxa"/>
            <w:tcBorders>
              <w:top w:val="nil"/>
              <w:left w:val="nil"/>
              <w:bottom w:val="nil"/>
              <w:right w:val="nil"/>
            </w:tcBorders>
            <w:shd w:val="clear" w:color="auto" w:fill="auto"/>
            <w:hideMark/>
          </w:tcPr>
          <w:p w14:paraId="456975FE" w14:textId="77777777" w:rsidR="00921934" w:rsidRPr="0080375D" w:rsidRDefault="00921934" w:rsidP="00A92B04">
            <w:pPr>
              <w:overflowPunct/>
              <w:autoSpaceDE/>
              <w:autoSpaceDN/>
              <w:adjustRightInd/>
              <w:spacing w:after="0" w:line="240" w:lineRule="auto"/>
              <w:jc w:val="center"/>
              <w:textAlignment w:val="auto"/>
              <w:rPr>
                <w:sz w:val="20"/>
                <w:lang w:eastAsia="en-GB"/>
              </w:rPr>
            </w:pPr>
          </w:p>
        </w:tc>
        <w:tc>
          <w:tcPr>
            <w:tcW w:w="1425" w:type="dxa"/>
            <w:tcBorders>
              <w:top w:val="nil"/>
              <w:left w:val="nil"/>
              <w:bottom w:val="nil"/>
              <w:right w:val="nil"/>
            </w:tcBorders>
            <w:shd w:val="clear" w:color="auto" w:fill="auto"/>
            <w:hideMark/>
          </w:tcPr>
          <w:p w14:paraId="79E06DF5" w14:textId="77777777" w:rsidR="00921934" w:rsidRPr="0080375D" w:rsidRDefault="00921934" w:rsidP="00A92B04">
            <w:pPr>
              <w:overflowPunct/>
              <w:autoSpaceDE/>
              <w:autoSpaceDN/>
              <w:adjustRightInd/>
              <w:spacing w:after="0" w:line="240" w:lineRule="auto"/>
              <w:jc w:val="left"/>
              <w:textAlignment w:val="auto"/>
              <w:rPr>
                <w:sz w:val="20"/>
                <w:lang w:eastAsia="en-GB"/>
              </w:rPr>
            </w:pPr>
          </w:p>
        </w:tc>
        <w:tc>
          <w:tcPr>
            <w:tcW w:w="2517" w:type="dxa"/>
            <w:tcBorders>
              <w:top w:val="nil"/>
              <w:left w:val="nil"/>
              <w:bottom w:val="nil"/>
              <w:right w:val="nil"/>
            </w:tcBorders>
            <w:shd w:val="clear" w:color="auto" w:fill="auto"/>
            <w:vAlign w:val="bottom"/>
            <w:hideMark/>
          </w:tcPr>
          <w:p w14:paraId="31E7444B" w14:textId="77777777" w:rsidR="00921934" w:rsidRPr="0080375D" w:rsidRDefault="00921934" w:rsidP="00A92B04">
            <w:pPr>
              <w:overflowPunct/>
              <w:autoSpaceDE/>
              <w:autoSpaceDN/>
              <w:adjustRightInd/>
              <w:spacing w:after="0" w:line="240" w:lineRule="auto"/>
              <w:jc w:val="left"/>
              <w:textAlignment w:val="auto"/>
              <w:rPr>
                <w:sz w:val="20"/>
                <w:lang w:eastAsia="en-GB"/>
              </w:rPr>
            </w:pPr>
          </w:p>
        </w:tc>
        <w:tc>
          <w:tcPr>
            <w:tcW w:w="282" w:type="dxa"/>
            <w:tcBorders>
              <w:top w:val="nil"/>
              <w:left w:val="nil"/>
              <w:bottom w:val="nil"/>
              <w:right w:val="nil"/>
            </w:tcBorders>
            <w:shd w:val="clear" w:color="auto" w:fill="auto"/>
            <w:hideMark/>
          </w:tcPr>
          <w:p w14:paraId="1033C77E" w14:textId="77777777" w:rsidR="00921934" w:rsidRPr="0080375D" w:rsidRDefault="00921934" w:rsidP="00A92B04">
            <w:pPr>
              <w:overflowPunct/>
              <w:autoSpaceDE/>
              <w:autoSpaceDN/>
              <w:adjustRightInd/>
              <w:spacing w:after="0" w:line="240" w:lineRule="auto"/>
              <w:jc w:val="center"/>
              <w:textAlignment w:val="auto"/>
              <w:rPr>
                <w:sz w:val="20"/>
                <w:lang w:eastAsia="en-GB"/>
              </w:rPr>
            </w:pPr>
          </w:p>
        </w:tc>
        <w:tc>
          <w:tcPr>
            <w:tcW w:w="732" w:type="dxa"/>
            <w:tcBorders>
              <w:top w:val="nil"/>
              <w:left w:val="nil"/>
              <w:bottom w:val="nil"/>
              <w:right w:val="nil"/>
            </w:tcBorders>
            <w:shd w:val="clear" w:color="auto" w:fill="auto"/>
            <w:hideMark/>
          </w:tcPr>
          <w:p w14:paraId="2D78E2E0" w14:textId="77777777" w:rsidR="00921934" w:rsidRPr="0080375D" w:rsidRDefault="00921934" w:rsidP="00A92B04">
            <w:pPr>
              <w:overflowPunct/>
              <w:autoSpaceDE/>
              <w:autoSpaceDN/>
              <w:adjustRightInd/>
              <w:spacing w:after="0" w:line="240" w:lineRule="auto"/>
              <w:jc w:val="left"/>
              <w:textAlignment w:val="auto"/>
              <w:rPr>
                <w:sz w:val="20"/>
                <w:lang w:eastAsia="en-GB"/>
              </w:rPr>
            </w:pPr>
          </w:p>
        </w:tc>
        <w:tc>
          <w:tcPr>
            <w:tcW w:w="1571" w:type="dxa"/>
            <w:tcBorders>
              <w:top w:val="nil"/>
              <w:left w:val="nil"/>
              <w:bottom w:val="nil"/>
              <w:right w:val="nil"/>
            </w:tcBorders>
          </w:tcPr>
          <w:p w14:paraId="6A332380" w14:textId="77777777" w:rsidR="00921934" w:rsidRPr="0080375D" w:rsidRDefault="00921934" w:rsidP="00A92B04">
            <w:pPr>
              <w:overflowPunct/>
              <w:autoSpaceDE/>
              <w:autoSpaceDN/>
              <w:adjustRightInd/>
              <w:spacing w:after="0" w:line="240" w:lineRule="auto"/>
              <w:jc w:val="right"/>
              <w:textAlignment w:val="auto"/>
              <w:rPr>
                <w:rFonts w:ascii="Calibri" w:hAnsi="Calibri" w:cs="Calibri"/>
                <w:color w:val="000000"/>
                <w:sz w:val="24"/>
                <w:szCs w:val="24"/>
                <w:lang w:eastAsia="en-GB"/>
              </w:rPr>
            </w:pPr>
          </w:p>
        </w:tc>
        <w:tc>
          <w:tcPr>
            <w:tcW w:w="1309" w:type="dxa"/>
            <w:tcBorders>
              <w:top w:val="nil"/>
              <w:left w:val="nil"/>
              <w:bottom w:val="nil"/>
              <w:right w:val="nil"/>
            </w:tcBorders>
            <w:shd w:val="clear" w:color="auto" w:fill="auto"/>
          </w:tcPr>
          <w:p w14:paraId="11A46466" w14:textId="4CB8D794" w:rsidR="00921934" w:rsidRPr="0080375D" w:rsidRDefault="00921934" w:rsidP="00A92B04">
            <w:pPr>
              <w:overflowPunct/>
              <w:autoSpaceDE/>
              <w:autoSpaceDN/>
              <w:adjustRightInd/>
              <w:spacing w:after="0" w:line="240" w:lineRule="auto"/>
              <w:jc w:val="right"/>
              <w:textAlignment w:val="auto"/>
              <w:rPr>
                <w:rFonts w:ascii="Calibri" w:hAnsi="Calibri" w:cs="Calibri"/>
                <w:color w:val="000000"/>
                <w:sz w:val="24"/>
                <w:szCs w:val="24"/>
                <w:lang w:eastAsia="en-GB"/>
              </w:rPr>
            </w:pPr>
          </w:p>
        </w:tc>
      </w:tr>
      <w:tr w:rsidR="00921934" w:rsidRPr="0080375D" w14:paraId="04C1539B" w14:textId="77777777" w:rsidTr="00A11DE5">
        <w:trPr>
          <w:trHeight w:val="285"/>
        </w:trPr>
        <w:tc>
          <w:tcPr>
            <w:tcW w:w="1123" w:type="dxa"/>
            <w:tcBorders>
              <w:top w:val="single" w:sz="4" w:space="0" w:color="auto"/>
              <w:left w:val="single" w:sz="4" w:space="0" w:color="auto"/>
              <w:bottom w:val="single" w:sz="4" w:space="0" w:color="auto"/>
              <w:right w:val="single" w:sz="4" w:space="0" w:color="auto"/>
            </w:tcBorders>
            <w:shd w:val="clear" w:color="000000" w:fill="CABAD4"/>
            <w:noWrap/>
            <w:vAlign w:val="bottom"/>
            <w:hideMark/>
          </w:tcPr>
          <w:p w14:paraId="27F0F3B8"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61C2AA9D"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41E6"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14:paraId="31A4C782"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Head of Data Engineering</w:t>
            </w:r>
          </w:p>
        </w:tc>
        <w:tc>
          <w:tcPr>
            <w:tcW w:w="282" w:type="dxa"/>
            <w:tcBorders>
              <w:top w:val="nil"/>
              <w:left w:val="nil"/>
              <w:bottom w:val="nil"/>
              <w:right w:val="nil"/>
            </w:tcBorders>
            <w:shd w:val="clear" w:color="auto" w:fill="auto"/>
            <w:noWrap/>
            <w:vAlign w:val="bottom"/>
            <w:hideMark/>
          </w:tcPr>
          <w:p w14:paraId="19868D7C"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9DEB"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6</w:t>
            </w:r>
          </w:p>
        </w:tc>
        <w:tc>
          <w:tcPr>
            <w:tcW w:w="1571" w:type="dxa"/>
            <w:tcBorders>
              <w:top w:val="single" w:sz="4" w:space="0" w:color="auto"/>
              <w:left w:val="single" w:sz="4" w:space="0" w:color="auto"/>
              <w:bottom w:val="single" w:sz="4" w:space="0" w:color="auto"/>
              <w:right w:val="single" w:sz="4" w:space="0" w:color="auto"/>
            </w:tcBorders>
          </w:tcPr>
          <w:p w14:paraId="5F6A04AB"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3257" w14:textId="4D8AC30F"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4873544D"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hideMark/>
          </w:tcPr>
          <w:p w14:paraId="07B108E0"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2DAE2941"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D717F14"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17" w:type="dxa"/>
            <w:tcBorders>
              <w:top w:val="nil"/>
              <w:left w:val="nil"/>
              <w:bottom w:val="single" w:sz="4" w:space="0" w:color="auto"/>
              <w:right w:val="single" w:sz="4" w:space="0" w:color="auto"/>
            </w:tcBorders>
            <w:shd w:val="clear" w:color="auto" w:fill="auto"/>
            <w:noWrap/>
            <w:vAlign w:val="bottom"/>
            <w:hideMark/>
          </w:tcPr>
          <w:p w14:paraId="5624DB49"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Lead Data Engineer</w:t>
            </w:r>
          </w:p>
        </w:tc>
        <w:tc>
          <w:tcPr>
            <w:tcW w:w="282" w:type="dxa"/>
            <w:tcBorders>
              <w:top w:val="nil"/>
              <w:left w:val="nil"/>
              <w:bottom w:val="nil"/>
              <w:right w:val="nil"/>
            </w:tcBorders>
            <w:shd w:val="clear" w:color="auto" w:fill="auto"/>
            <w:noWrap/>
            <w:vAlign w:val="bottom"/>
            <w:hideMark/>
          </w:tcPr>
          <w:p w14:paraId="5EFD6220"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9AA40F7"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5</w:t>
            </w:r>
          </w:p>
        </w:tc>
        <w:tc>
          <w:tcPr>
            <w:tcW w:w="1571" w:type="dxa"/>
            <w:tcBorders>
              <w:top w:val="nil"/>
              <w:left w:val="single" w:sz="4" w:space="0" w:color="auto"/>
              <w:bottom w:val="single" w:sz="4" w:space="0" w:color="auto"/>
              <w:right w:val="single" w:sz="4" w:space="0" w:color="auto"/>
            </w:tcBorders>
          </w:tcPr>
          <w:p w14:paraId="4EA420F1"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538B0751" w14:textId="7D0BF432"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5CFF3186"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hideMark/>
          </w:tcPr>
          <w:p w14:paraId="0B75EDF6"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46369DA1"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384A0A39"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17" w:type="dxa"/>
            <w:tcBorders>
              <w:top w:val="nil"/>
              <w:left w:val="nil"/>
              <w:bottom w:val="single" w:sz="4" w:space="0" w:color="auto"/>
              <w:right w:val="single" w:sz="4" w:space="0" w:color="auto"/>
            </w:tcBorders>
            <w:shd w:val="clear" w:color="auto" w:fill="auto"/>
            <w:noWrap/>
            <w:vAlign w:val="bottom"/>
            <w:hideMark/>
          </w:tcPr>
          <w:p w14:paraId="0B76F34B"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Senior Data Engineer</w:t>
            </w:r>
          </w:p>
        </w:tc>
        <w:tc>
          <w:tcPr>
            <w:tcW w:w="282" w:type="dxa"/>
            <w:tcBorders>
              <w:top w:val="nil"/>
              <w:left w:val="nil"/>
              <w:bottom w:val="nil"/>
              <w:right w:val="nil"/>
            </w:tcBorders>
            <w:shd w:val="clear" w:color="auto" w:fill="auto"/>
            <w:noWrap/>
            <w:vAlign w:val="bottom"/>
            <w:hideMark/>
          </w:tcPr>
          <w:p w14:paraId="6D603BC4"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FE1BEE6"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4</w:t>
            </w:r>
          </w:p>
        </w:tc>
        <w:tc>
          <w:tcPr>
            <w:tcW w:w="1571" w:type="dxa"/>
            <w:tcBorders>
              <w:top w:val="nil"/>
              <w:left w:val="single" w:sz="4" w:space="0" w:color="auto"/>
              <w:bottom w:val="single" w:sz="4" w:space="0" w:color="auto"/>
              <w:right w:val="single" w:sz="4" w:space="0" w:color="auto"/>
            </w:tcBorders>
          </w:tcPr>
          <w:p w14:paraId="2AF8336E"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3265383A" w14:textId="170B6396"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4DCBFD91"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hideMark/>
          </w:tcPr>
          <w:p w14:paraId="451BBA52"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53C7B10E"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EE05B0D"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17" w:type="dxa"/>
            <w:tcBorders>
              <w:top w:val="nil"/>
              <w:left w:val="nil"/>
              <w:bottom w:val="single" w:sz="4" w:space="0" w:color="auto"/>
              <w:right w:val="single" w:sz="4" w:space="0" w:color="auto"/>
            </w:tcBorders>
            <w:shd w:val="clear" w:color="auto" w:fill="auto"/>
            <w:noWrap/>
            <w:vAlign w:val="bottom"/>
            <w:hideMark/>
          </w:tcPr>
          <w:p w14:paraId="7011C9F3"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 Engineer</w:t>
            </w:r>
          </w:p>
        </w:tc>
        <w:tc>
          <w:tcPr>
            <w:tcW w:w="282" w:type="dxa"/>
            <w:tcBorders>
              <w:top w:val="nil"/>
              <w:left w:val="nil"/>
              <w:bottom w:val="nil"/>
              <w:right w:val="nil"/>
            </w:tcBorders>
            <w:shd w:val="clear" w:color="auto" w:fill="auto"/>
            <w:noWrap/>
            <w:vAlign w:val="bottom"/>
            <w:hideMark/>
          </w:tcPr>
          <w:p w14:paraId="757D735F"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8C00CB4"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3</w:t>
            </w:r>
          </w:p>
        </w:tc>
        <w:tc>
          <w:tcPr>
            <w:tcW w:w="1571" w:type="dxa"/>
            <w:tcBorders>
              <w:top w:val="nil"/>
              <w:left w:val="single" w:sz="4" w:space="0" w:color="auto"/>
              <w:bottom w:val="single" w:sz="4" w:space="0" w:color="auto"/>
              <w:right w:val="single" w:sz="4" w:space="0" w:color="auto"/>
            </w:tcBorders>
          </w:tcPr>
          <w:p w14:paraId="660CA361"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2AB445B6" w14:textId="1ED82B95"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2C75B82E"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hideMark/>
          </w:tcPr>
          <w:p w14:paraId="25CB8190"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0B363BA5"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3A9AE39C"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DataScientist</w:t>
            </w:r>
          </w:p>
        </w:tc>
        <w:tc>
          <w:tcPr>
            <w:tcW w:w="2517" w:type="dxa"/>
            <w:tcBorders>
              <w:top w:val="nil"/>
              <w:left w:val="nil"/>
              <w:bottom w:val="single" w:sz="4" w:space="0" w:color="auto"/>
              <w:right w:val="single" w:sz="4" w:space="0" w:color="auto"/>
            </w:tcBorders>
            <w:shd w:val="clear" w:color="auto" w:fill="auto"/>
            <w:noWrap/>
            <w:vAlign w:val="bottom"/>
            <w:hideMark/>
          </w:tcPr>
          <w:p w14:paraId="631ABA20"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 xml:space="preserve">Head of Data Science </w:t>
            </w:r>
          </w:p>
        </w:tc>
        <w:tc>
          <w:tcPr>
            <w:tcW w:w="282" w:type="dxa"/>
            <w:tcBorders>
              <w:top w:val="nil"/>
              <w:left w:val="nil"/>
              <w:bottom w:val="nil"/>
              <w:right w:val="nil"/>
            </w:tcBorders>
            <w:shd w:val="clear" w:color="auto" w:fill="auto"/>
            <w:noWrap/>
            <w:vAlign w:val="bottom"/>
            <w:hideMark/>
          </w:tcPr>
          <w:p w14:paraId="13635164"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4363527"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6</w:t>
            </w:r>
          </w:p>
        </w:tc>
        <w:tc>
          <w:tcPr>
            <w:tcW w:w="1571" w:type="dxa"/>
            <w:tcBorders>
              <w:top w:val="nil"/>
              <w:left w:val="single" w:sz="4" w:space="0" w:color="auto"/>
              <w:bottom w:val="single" w:sz="4" w:space="0" w:color="auto"/>
              <w:right w:val="single" w:sz="4" w:space="0" w:color="auto"/>
            </w:tcBorders>
          </w:tcPr>
          <w:p w14:paraId="138C8361"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0EA2127B" w14:textId="3E851BE9"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6A92A9C9"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hideMark/>
          </w:tcPr>
          <w:p w14:paraId="3B279474"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w:t>
            </w:r>
          </w:p>
        </w:tc>
        <w:tc>
          <w:tcPr>
            <w:tcW w:w="283" w:type="dxa"/>
            <w:tcBorders>
              <w:top w:val="nil"/>
              <w:left w:val="nil"/>
              <w:bottom w:val="nil"/>
              <w:right w:val="nil"/>
            </w:tcBorders>
            <w:shd w:val="clear" w:color="auto" w:fill="auto"/>
            <w:noWrap/>
            <w:vAlign w:val="bottom"/>
            <w:hideMark/>
          </w:tcPr>
          <w:p w14:paraId="7876F483"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68F45A5"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DataEngineer</w:t>
            </w:r>
          </w:p>
        </w:tc>
        <w:tc>
          <w:tcPr>
            <w:tcW w:w="2517" w:type="dxa"/>
            <w:tcBorders>
              <w:top w:val="nil"/>
              <w:left w:val="nil"/>
              <w:bottom w:val="single" w:sz="4" w:space="0" w:color="auto"/>
              <w:right w:val="single" w:sz="4" w:space="0" w:color="auto"/>
            </w:tcBorders>
            <w:shd w:val="clear" w:color="auto" w:fill="auto"/>
            <w:noWrap/>
            <w:vAlign w:val="bottom"/>
            <w:hideMark/>
          </w:tcPr>
          <w:p w14:paraId="416F8EC0"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sidRPr="0080375D">
              <w:rPr>
                <w:rFonts w:ascii="Calibri" w:hAnsi="Calibri" w:cs="Calibri"/>
                <w:color w:val="000000"/>
                <w:szCs w:val="22"/>
                <w:lang w:eastAsia="en-GB"/>
              </w:rPr>
              <w:t>Senior Data Scientist</w:t>
            </w:r>
          </w:p>
        </w:tc>
        <w:tc>
          <w:tcPr>
            <w:tcW w:w="282" w:type="dxa"/>
            <w:tcBorders>
              <w:top w:val="nil"/>
              <w:left w:val="nil"/>
              <w:bottom w:val="nil"/>
              <w:right w:val="nil"/>
            </w:tcBorders>
            <w:shd w:val="clear" w:color="auto" w:fill="auto"/>
            <w:noWrap/>
            <w:vAlign w:val="bottom"/>
            <w:hideMark/>
          </w:tcPr>
          <w:p w14:paraId="6FC44459"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77EFA0D"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3</w:t>
            </w:r>
          </w:p>
        </w:tc>
        <w:tc>
          <w:tcPr>
            <w:tcW w:w="1571" w:type="dxa"/>
            <w:tcBorders>
              <w:top w:val="nil"/>
              <w:left w:val="single" w:sz="4" w:space="0" w:color="auto"/>
              <w:bottom w:val="single" w:sz="4" w:space="0" w:color="auto"/>
              <w:right w:val="single" w:sz="4" w:space="0" w:color="auto"/>
            </w:tcBorders>
          </w:tcPr>
          <w:p w14:paraId="61DABA99"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3D4B97F8" w14:textId="2541A16E"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r w:rsidRPr="0080375D">
              <w:rPr>
                <w:rFonts w:ascii="Calibri" w:hAnsi="Calibri" w:cs="Calibri"/>
                <w:color w:val="000000"/>
                <w:szCs w:val="22"/>
                <w:lang w:eastAsia="en-GB"/>
              </w:rPr>
              <w:t> </w:t>
            </w:r>
          </w:p>
        </w:tc>
      </w:tr>
      <w:tr w:rsidR="00921934" w:rsidRPr="0080375D" w14:paraId="286D00CB" w14:textId="77777777" w:rsidTr="00A11DE5">
        <w:trPr>
          <w:trHeight w:val="285"/>
        </w:trPr>
        <w:tc>
          <w:tcPr>
            <w:tcW w:w="1123" w:type="dxa"/>
            <w:tcBorders>
              <w:top w:val="nil"/>
              <w:left w:val="single" w:sz="4" w:space="0" w:color="auto"/>
              <w:bottom w:val="single" w:sz="4" w:space="0" w:color="auto"/>
              <w:right w:val="single" w:sz="4" w:space="0" w:color="auto"/>
            </w:tcBorders>
            <w:shd w:val="clear" w:color="000000" w:fill="CABAD4"/>
            <w:noWrap/>
            <w:vAlign w:val="bottom"/>
          </w:tcPr>
          <w:p w14:paraId="178880A1"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283" w:type="dxa"/>
            <w:tcBorders>
              <w:top w:val="nil"/>
              <w:left w:val="nil"/>
              <w:bottom w:val="nil"/>
              <w:right w:val="nil"/>
            </w:tcBorders>
            <w:shd w:val="clear" w:color="auto" w:fill="auto"/>
            <w:noWrap/>
            <w:vAlign w:val="bottom"/>
          </w:tcPr>
          <w:p w14:paraId="6ABB5696"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1425" w:type="dxa"/>
            <w:tcBorders>
              <w:top w:val="nil"/>
              <w:left w:val="single" w:sz="4" w:space="0" w:color="auto"/>
              <w:bottom w:val="single" w:sz="4" w:space="0" w:color="auto"/>
              <w:right w:val="single" w:sz="4" w:space="0" w:color="auto"/>
            </w:tcBorders>
            <w:shd w:val="clear" w:color="auto" w:fill="auto"/>
            <w:noWrap/>
            <w:vAlign w:val="bottom"/>
          </w:tcPr>
          <w:p w14:paraId="2FF597E1"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r>
              <w:rPr>
                <w:rFonts w:ascii="Calibri" w:hAnsi="Calibri" w:cs="Calibri"/>
                <w:color w:val="000000"/>
                <w:szCs w:val="22"/>
                <w:lang w:eastAsia="en-GB"/>
              </w:rPr>
              <w:t>….</w:t>
            </w:r>
          </w:p>
        </w:tc>
        <w:tc>
          <w:tcPr>
            <w:tcW w:w="2517" w:type="dxa"/>
            <w:tcBorders>
              <w:top w:val="nil"/>
              <w:left w:val="nil"/>
              <w:bottom w:val="single" w:sz="4" w:space="0" w:color="auto"/>
              <w:right w:val="single" w:sz="4" w:space="0" w:color="auto"/>
            </w:tcBorders>
            <w:shd w:val="clear" w:color="auto" w:fill="auto"/>
            <w:noWrap/>
            <w:vAlign w:val="bottom"/>
          </w:tcPr>
          <w:p w14:paraId="7BD04EFA"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282" w:type="dxa"/>
            <w:tcBorders>
              <w:top w:val="nil"/>
              <w:left w:val="nil"/>
              <w:bottom w:val="nil"/>
              <w:right w:val="nil"/>
            </w:tcBorders>
            <w:shd w:val="clear" w:color="auto" w:fill="auto"/>
            <w:noWrap/>
            <w:vAlign w:val="bottom"/>
          </w:tcPr>
          <w:p w14:paraId="0172CE86" w14:textId="77777777" w:rsidR="00921934" w:rsidRPr="0080375D" w:rsidRDefault="00921934" w:rsidP="00A92B04">
            <w:pPr>
              <w:overflowPunct/>
              <w:autoSpaceDE/>
              <w:autoSpaceDN/>
              <w:adjustRightInd/>
              <w:spacing w:after="0" w:line="240" w:lineRule="auto"/>
              <w:jc w:val="left"/>
              <w:textAlignment w:val="auto"/>
              <w:rPr>
                <w:rFonts w:ascii="Calibri" w:hAnsi="Calibri" w:cs="Calibri"/>
                <w:color w:val="000000"/>
                <w:szCs w:val="22"/>
                <w:lang w:eastAsia="en-GB"/>
              </w:rPr>
            </w:pPr>
          </w:p>
        </w:tc>
        <w:tc>
          <w:tcPr>
            <w:tcW w:w="732" w:type="dxa"/>
            <w:tcBorders>
              <w:top w:val="nil"/>
              <w:left w:val="single" w:sz="4" w:space="0" w:color="auto"/>
              <w:bottom w:val="single" w:sz="4" w:space="0" w:color="auto"/>
              <w:right w:val="single" w:sz="4" w:space="0" w:color="auto"/>
            </w:tcBorders>
            <w:shd w:val="clear" w:color="auto" w:fill="auto"/>
            <w:noWrap/>
            <w:vAlign w:val="bottom"/>
          </w:tcPr>
          <w:p w14:paraId="2C69AE57"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571" w:type="dxa"/>
            <w:tcBorders>
              <w:top w:val="nil"/>
              <w:left w:val="single" w:sz="4" w:space="0" w:color="auto"/>
              <w:bottom w:val="single" w:sz="4" w:space="0" w:color="auto"/>
              <w:right w:val="single" w:sz="4" w:space="0" w:color="auto"/>
            </w:tcBorders>
          </w:tcPr>
          <w:p w14:paraId="29FB26E1" w14:textId="77777777"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c>
          <w:tcPr>
            <w:tcW w:w="1309" w:type="dxa"/>
            <w:tcBorders>
              <w:top w:val="nil"/>
              <w:left w:val="single" w:sz="4" w:space="0" w:color="auto"/>
              <w:bottom w:val="single" w:sz="4" w:space="0" w:color="auto"/>
              <w:right w:val="single" w:sz="4" w:space="0" w:color="auto"/>
            </w:tcBorders>
            <w:shd w:val="clear" w:color="auto" w:fill="auto"/>
            <w:noWrap/>
            <w:vAlign w:val="bottom"/>
          </w:tcPr>
          <w:p w14:paraId="6D521A44" w14:textId="65D1501C" w:rsidR="00921934" w:rsidRPr="0080375D" w:rsidRDefault="00921934" w:rsidP="00A92B04">
            <w:pPr>
              <w:overflowPunct/>
              <w:autoSpaceDE/>
              <w:autoSpaceDN/>
              <w:adjustRightInd/>
              <w:spacing w:after="0" w:line="240" w:lineRule="auto"/>
              <w:jc w:val="center"/>
              <w:textAlignment w:val="auto"/>
              <w:rPr>
                <w:rFonts w:ascii="Calibri" w:hAnsi="Calibri" w:cs="Calibri"/>
                <w:color w:val="000000"/>
                <w:szCs w:val="22"/>
                <w:lang w:eastAsia="en-GB"/>
              </w:rPr>
            </w:pPr>
          </w:p>
        </w:tc>
      </w:tr>
    </w:tbl>
    <w:p w14:paraId="0F834B5C" w14:textId="77777777" w:rsidR="004E61C0" w:rsidRDefault="004E61C0">
      <w:pPr>
        <w:overflowPunct/>
        <w:autoSpaceDE/>
        <w:autoSpaceDN/>
        <w:adjustRightInd/>
        <w:spacing w:after="0" w:line="240" w:lineRule="auto"/>
        <w:jc w:val="left"/>
        <w:textAlignment w:val="auto"/>
        <w:rPr>
          <w:rFonts w:ascii="Arial" w:hAnsi="Arial" w:cs="Arial"/>
          <w:b/>
          <w:sz w:val="36"/>
          <w:lang w:eastAsia="zh-CN"/>
        </w:rPr>
      </w:pPr>
      <w:r>
        <w:rPr>
          <w:rFonts w:ascii="Arial" w:hAnsi="Arial"/>
          <w:b/>
          <w:sz w:val="36"/>
        </w:rPr>
        <w:br w:type="page"/>
      </w:r>
    </w:p>
    <w:p w14:paraId="781E552A" w14:textId="47EF00EF" w:rsidR="004F4EFE" w:rsidRPr="00840AE8" w:rsidRDefault="004F4EFE" w:rsidP="00CC4D45">
      <w:pPr>
        <w:pStyle w:val="GPSL2Numbered"/>
      </w:pPr>
      <w:r>
        <w:lastRenderedPageBreak/>
        <w:t>A</w:t>
      </w:r>
      <w:r w:rsidR="00236C05">
        <w:t>nn</w:t>
      </w:r>
      <w:r w:rsidR="006C14B4">
        <w:t>ex</w:t>
      </w:r>
      <w:r>
        <w:t xml:space="preserve"> </w:t>
      </w:r>
      <w:r w:rsidR="004E61C0">
        <w:t>3</w:t>
      </w:r>
      <w:r w:rsidR="004E61C0" w:rsidRPr="00840AE8">
        <w:t xml:space="preserve"> </w:t>
      </w:r>
      <w:r w:rsidRPr="00840AE8">
        <w:t>(Expenses Policy)</w:t>
      </w:r>
    </w:p>
    <w:p w14:paraId="3EB61C6D" w14:textId="77777777" w:rsidR="004F4EFE" w:rsidRDefault="004F4EFE" w:rsidP="00CC4D45">
      <w:pPr>
        <w:pStyle w:val="GPSL2Numbered"/>
      </w:pPr>
    </w:p>
    <w:p w14:paraId="1DB86ACD" w14:textId="77777777" w:rsidR="00FC07A4" w:rsidRPr="00FC07A4" w:rsidRDefault="00FC07A4" w:rsidP="00FC07A4">
      <w:pPr>
        <w:overflowPunct/>
        <w:autoSpaceDE/>
        <w:adjustRightInd/>
        <w:spacing w:after="0" w:line="240" w:lineRule="auto"/>
        <w:ind w:left="709" w:hanging="709"/>
        <w:contextualSpacing/>
        <w:textAlignment w:val="auto"/>
        <w:rPr>
          <w:rFonts w:ascii="Arial" w:hAnsi="Arial" w:cs="Arial"/>
          <w:b/>
          <w:sz w:val="24"/>
          <w:szCs w:val="24"/>
          <w:lang w:eastAsia="en-GB"/>
        </w:rPr>
      </w:pPr>
      <w:r w:rsidRPr="00FC07A4">
        <w:rPr>
          <w:rFonts w:ascii="Arial" w:hAnsi="Arial" w:cs="Arial"/>
          <w:b/>
          <w:sz w:val="24"/>
          <w:szCs w:val="24"/>
          <w:lang w:eastAsia="en-GB"/>
        </w:rPr>
        <w:t>FOR OUTCOME BASED SUPPLY CONTRACTS</w:t>
      </w:r>
    </w:p>
    <w:p w14:paraId="46E60E05" w14:textId="77777777" w:rsidR="00FC07A4" w:rsidRPr="00FC07A4" w:rsidRDefault="00FC07A4" w:rsidP="00FC07A4">
      <w:pPr>
        <w:overflowPunct/>
        <w:autoSpaceDE/>
        <w:autoSpaceDN/>
        <w:adjustRightInd/>
        <w:spacing w:after="0" w:line="240" w:lineRule="auto"/>
        <w:textAlignment w:val="auto"/>
        <w:rPr>
          <w:rFonts w:ascii="Arial" w:eastAsia="Verdana" w:hAnsi="Arial" w:cs="Arial"/>
          <w:color w:val="000000"/>
          <w:sz w:val="24"/>
          <w:szCs w:val="24"/>
          <w:lang w:eastAsia="en-GB"/>
        </w:rPr>
      </w:pPr>
    </w:p>
    <w:p w14:paraId="02B49D9A" w14:textId="77777777" w:rsidR="00FC07A4" w:rsidRPr="00FC07A4" w:rsidRDefault="00FC07A4" w:rsidP="00FC07A4">
      <w:pPr>
        <w:numPr>
          <w:ilvl w:val="0"/>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 xml:space="preserve">The Supplier must adhere to the </w:t>
      </w:r>
      <w:r w:rsidRPr="00FC07A4">
        <w:rPr>
          <w:rFonts w:ascii="Arial" w:eastAsia="Calibri" w:hAnsi="Arial" w:cs="Arial"/>
          <w:b/>
          <w:sz w:val="24"/>
          <w:szCs w:val="24"/>
          <w:lang w:eastAsia="en-GB"/>
        </w:rPr>
        <w:t>overarching principles</w:t>
      </w:r>
      <w:r w:rsidRPr="00FC07A4">
        <w:rPr>
          <w:rFonts w:ascii="Arial" w:eastAsia="Calibri" w:hAnsi="Arial" w:cs="Arial"/>
          <w:bCs/>
          <w:sz w:val="24"/>
          <w:szCs w:val="24"/>
          <w:lang w:eastAsia="en-GB"/>
        </w:rPr>
        <w:t>, as</w:t>
      </w:r>
      <w:r w:rsidRPr="00FC07A4">
        <w:rPr>
          <w:rFonts w:ascii="Arial" w:eastAsia="Calibri" w:hAnsi="Arial" w:cs="Arial"/>
          <w:b/>
          <w:sz w:val="24"/>
          <w:szCs w:val="24"/>
          <w:lang w:eastAsia="en-GB"/>
        </w:rPr>
        <w:t xml:space="preserve"> </w:t>
      </w:r>
      <w:r w:rsidRPr="00FC07A4">
        <w:rPr>
          <w:rFonts w:ascii="Arial" w:eastAsia="Calibri" w:hAnsi="Arial" w:cs="Arial"/>
          <w:sz w:val="24"/>
          <w:szCs w:val="24"/>
          <w:lang w:eastAsia="en-GB"/>
        </w:rPr>
        <w:t>set out below.</w:t>
      </w:r>
    </w:p>
    <w:p w14:paraId="660ED0DE"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b/>
          <w:color w:val="000000"/>
          <w:sz w:val="24"/>
          <w:szCs w:val="24"/>
          <w:lang w:eastAsia="en-GB"/>
        </w:rPr>
        <w:t xml:space="preserve">Travel should be for essential business reasons only. </w:t>
      </w:r>
      <w:r w:rsidRPr="00FC07A4">
        <w:rPr>
          <w:rFonts w:ascii="Arial" w:eastAsia="Verdana" w:hAnsi="Arial" w:cs="Arial"/>
          <w:color w:val="000000"/>
          <w:sz w:val="24"/>
          <w:szCs w:val="24"/>
          <w:lang w:eastAsia="en-GB"/>
        </w:rPr>
        <w:t>Suppliers shall work to minimise the costs of travel.</w:t>
      </w:r>
    </w:p>
    <w:p w14:paraId="616FD022"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b/>
          <w:color w:val="000000"/>
          <w:sz w:val="24"/>
          <w:szCs w:val="24"/>
          <w:lang w:eastAsia="en-GB"/>
        </w:rPr>
        <w:t xml:space="preserve">Travel should consider environmental impact. </w:t>
      </w:r>
      <w:r w:rsidRPr="00FC07A4">
        <w:rPr>
          <w:rFonts w:ascii="Arial" w:eastAsia="Verdana" w:hAnsi="Arial" w:cs="Arial"/>
          <w:color w:val="000000"/>
          <w:sz w:val="24"/>
          <w:szCs w:val="24"/>
          <w:lang w:eastAsia="en-GB"/>
        </w:rPr>
        <w:t>The Buyer has a responsibility to meet obligations to reduce carbon emissions and business travel itself and in its supply chain under the Greening Government Commitment Policy, and therefore does not encourage unnecessary travel. In order to reduce the environmental impact of travel, every attempt should be made to identify options to eliminate the need to travel, for example using new technologies to communicate. Regular travel should always be challenged as part of good practice;</w:t>
      </w:r>
    </w:p>
    <w:p w14:paraId="19908005"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color w:val="000000"/>
          <w:sz w:val="24"/>
          <w:szCs w:val="24"/>
          <w:lang w:eastAsia="en-GB"/>
        </w:rPr>
        <w:t xml:space="preserve">The </w:t>
      </w:r>
      <w:r w:rsidRPr="00FC07A4">
        <w:rPr>
          <w:rFonts w:ascii="Arial" w:eastAsia="Verdana" w:hAnsi="Arial" w:cs="Arial"/>
          <w:b/>
          <w:color w:val="000000"/>
          <w:sz w:val="24"/>
          <w:szCs w:val="24"/>
          <w:lang w:eastAsia="en-GB"/>
        </w:rPr>
        <w:t xml:space="preserve">lowest cost option </w:t>
      </w:r>
      <w:r w:rsidRPr="00FC07A4">
        <w:rPr>
          <w:rFonts w:ascii="Arial" w:eastAsia="Verdana" w:hAnsi="Arial" w:cs="Arial"/>
          <w:color w:val="000000"/>
          <w:sz w:val="24"/>
          <w:szCs w:val="24"/>
          <w:lang w:eastAsia="en-GB"/>
        </w:rPr>
        <w:t>for travelling should be the default. Suppliers are encouraged to use public transport wherever possible. Suppliers are also expected to use the most economical means of public transport on every occasion, including travelling outside of peak times where practical. The purchase of advance tickets is expected in all but exceptional cases;</w:t>
      </w:r>
    </w:p>
    <w:p w14:paraId="578C0739"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A11DE5">
        <w:rPr>
          <w:rFonts w:ascii="Arial" w:eastAsia="Verdana" w:hAnsi="Arial" w:cs="Arial"/>
          <w:b/>
          <w:bCs/>
          <w:color w:val="000000"/>
          <w:sz w:val="24"/>
          <w:szCs w:val="24"/>
          <w:lang w:eastAsia="en-GB"/>
        </w:rPr>
        <w:t>F</w:t>
      </w:r>
      <w:r w:rsidRPr="00FC07A4">
        <w:rPr>
          <w:rFonts w:ascii="Arial" w:eastAsia="Verdana" w:hAnsi="Arial" w:cs="Arial"/>
          <w:b/>
          <w:bCs/>
          <w:color w:val="000000"/>
          <w:sz w:val="24"/>
          <w:szCs w:val="24"/>
          <w:lang w:eastAsia="en-GB"/>
        </w:rPr>
        <w:t>irst class</w:t>
      </w:r>
      <w:r w:rsidRPr="00FC07A4">
        <w:rPr>
          <w:rFonts w:ascii="Arial" w:eastAsia="Verdana" w:hAnsi="Arial" w:cs="Arial"/>
          <w:color w:val="000000"/>
          <w:sz w:val="24"/>
          <w:szCs w:val="24"/>
          <w:lang w:eastAsia="en-GB"/>
        </w:rPr>
        <w:t xml:space="preserve"> travel is </w:t>
      </w:r>
      <w:r w:rsidRPr="00FC07A4">
        <w:rPr>
          <w:rFonts w:ascii="Arial" w:eastAsia="Verdana" w:hAnsi="Arial" w:cs="Arial"/>
          <w:b/>
          <w:bCs/>
          <w:color w:val="000000"/>
          <w:sz w:val="24"/>
          <w:szCs w:val="24"/>
          <w:lang w:eastAsia="en-GB"/>
        </w:rPr>
        <w:t>not permitted and will not be reimbursed</w:t>
      </w:r>
      <w:r w:rsidRPr="00FC07A4">
        <w:rPr>
          <w:rFonts w:ascii="Arial" w:eastAsia="Verdana" w:hAnsi="Arial" w:cs="Arial"/>
          <w:color w:val="000000"/>
          <w:sz w:val="24"/>
          <w:szCs w:val="24"/>
          <w:lang w:eastAsia="en-GB"/>
        </w:rPr>
        <w:t>, regardless as to whether the cost of such is lower than alternative options, except when an individual has a disability as set out in the Business Travel and Expenses Procedure;</w:t>
      </w:r>
    </w:p>
    <w:p w14:paraId="31FDF385"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color w:val="000000"/>
          <w:sz w:val="24"/>
          <w:szCs w:val="24"/>
          <w:lang w:eastAsia="en-GB"/>
        </w:rPr>
        <w:t xml:space="preserve">All travel bookings and expense claims for reimbursement must have </w:t>
      </w:r>
      <w:r w:rsidRPr="00FC07A4">
        <w:rPr>
          <w:rFonts w:ascii="Arial" w:eastAsia="Verdana" w:hAnsi="Arial" w:cs="Arial"/>
          <w:b/>
          <w:color w:val="000000"/>
          <w:sz w:val="24"/>
          <w:szCs w:val="24"/>
          <w:lang w:eastAsia="en-GB"/>
        </w:rPr>
        <w:t>clear business justification</w:t>
      </w:r>
      <w:r w:rsidRPr="00FC07A4">
        <w:rPr>
          <w:rFonts w:ascii="Arial" w:eastAsia="Verdana" w:hAnsi="Arial" w:cs="Arial"/>
          <w:color w:val="000000"/>
          <w:sz w:val="24"/>
          <w:szCs w:val="24"/>
          <w:lang w:eastAsia="en-GB"/>
        </w:rPr>
        <w:t xml:space="preserve">. </w:t>
      </w:r>
    </w:p>
    <w:p w14:paraId="7673F8AD"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color w:val="000000"/>
          <w:sz w:val="24"/>
          <w:szCs w:val="24"/>
          <w:lang w:eastAsia="en-GB"/>
        </w:rPr>
        <w:t xml:space="preserve">Suppliers shall claim compensation (for late or delayed travel for example), on behalf of the Buyer. </w:t>
      </w:r>
    </w:p>
    <w:p w14:paraId="5A17EA00" w14:textId="77777777" w:rsidR="00FC07A4" w:rsidRPr="00FC07A4" w:rsidRDefault="00FC07A4" w:rsidP="00FC07A4">
      <w:pPr>
        <w:widowControl w:val="0"/>
        <w:numPr>
          <w:ilvl w:val="0"/>
          <w:numId w:val="90"/>
        </w:numPr>
        <w:tabs>
          <w:tab w:val="left" w:pos="851"/>
        </w:tabs>
        <w:overflowPunct/>
        <w:autoSpaceDE/>
        <w:autoSpaceDN/>
        <w:adjustRightInd/>
        <w:spacing w:before="160" w:after="0" w:line="276" w:lineRule="auto"/>
        <w:ind w:left="851" w:right="101" w:hanging="284"/>
        <w:textAlignment w:val="auto"/>
        <w:rPr>
          <w:rFonts w:ascii="Arial" w:eastAsia="Verdana" w:hAnsi="Arial" w:cs="Arial"/>
          <w:color w:val="000000"/>
          <w:sz w:val="24"/>
          <w:szCs w:val="24"/>
          <w:lang w:eastAsia="en-GB"/>
        </w:rPr>
      </w:pPr>
      <w:r w:rsidRPr="00FC07A4">
        <w:rPr>
          <w:rFonts w:ascii="Arial" w:eastAsia="Verdana" w:hAnsi="Arial" w:cs="Arial"/>
          <w:color w:val="000000"/>
          <w:sz w:val="24"/>
          <w:szCs w:val="24"/>
          <w:lang w:eastAsia="en-GB"/>
        </w:rPr>
        <w:t xml:space="preserve">The Buyer will only reimburse expenses which are </w:t>
      </w:r>
      <w:r w:rsidRPr="00FC07A4">
        <w:rPr>
          <w:rFonts w:ascii="Arial" w:eastAsia="Verdana" w:hAnsi="Arial" w:cs="Arial"/>
          <w:b/>
          <w:color w:val="000000"/>
          <w:sz w:val="24"/>
          <w:szCs w:val="24"/>
          <w:lang w:eastAsia="en-GB"/>
        </w:rPr>
        <w:t>in excess of the normal commuting and day to day costs</w:t>
      </w:r>
      <w:r w:rsidRPr="00FC07A4">
        <w:rPr>
          <w:rFonts w:ascii="Arial" w:eastAsia="Verdana" w:hAnsi="Arial" w:cs="Arial"/>
          <w:color w:val="000000"/>
          <w:sz w:val="24"/>
          <w:szCs w:val="24"/>
          <w:lang w:eastAsia="en-GB"/>
        </w:rPr>
        <w:t xml:space="preserve"> of the individual. Whilst journeys may begin from home, Suppliers will be required to take account of the above when making claims.</w:t>
      </w:r>
    </w:p>
    <w:p w14:paraId="6278E43B" w14:textId="3B2E8F62" w:rsidR="00FC07A4" w:rsidRPr="00FC07A4" w:rsidRDefault="00FC07A4" w:rsidP="00FC07A4">
      <w:pPr>
        <w:numPr>
          <w:ilvl w:val="0"/>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u w:val="single"/>
          <w:lang w:eastAsia="en-GB"/>
        </w:rPr>
        <w:t>Reporting and Audit</w:t>
      </w:r>
      <w:r w:rsidRPr="00FC07A4">
        <w:rPr>
          <w:rFonts w:ascii="Arial" w:eastAsia="Calibri" w:hAnsi="Arial" w:cs="Arial"/>
          <w:sz w:val="24"/>
          <w:szCs w:val="24"/>
          <w:lang w:eastAsia="en-GB"/>
        </w:rPr>
        <w:t xml:space="preserve"> Suppliers are required to maintain a full itemised index of expenses, and detail the named personnel, reference, and work to which is relates, and sufficient evidence to show the principles have been considered and are met in each case, and provide copies on request at any time by the Buyer. </w:t>
      </w:r>
      <w:r w:rsidRPr="00FC07A4">
        <w:rPr>
          <w:rFonts w:ascii="Arial" w:eastAsia="Calibri" w:hAnsi="Arial" w:cs="Arial"/>
          <w:sz w:val="24"/>
          <w:szCs w:val="24"/>
          <w:lang w:eastAsia="en-GB"/>
        </w:rPr>
        <w:lastRenderedPageBreak/>
        <w:t>Failure to provide the same will mean the expenses may not be recoverable. Suppliers shall maintain such records for review by the Buyer (and its auditors, HMRC, DHSC and any other central government entity) for the duration of the Call</w:t>
      </w:r>
      <w:r w:rsidR="00B20A7B">
        <w:rPr>
          <w:rFonts w:ascii="Arial" w:eastAsia="Calibri" w:hAnsi="Arial" w:cs="Arial"/>
          <w:sz w:val="24"/>
          <w:szCs w:val="24"/>
          <w:lang w:eastAsia="en-GB"/>
        </w:rPr>
        <w:t>-</w:t>
      </w:r>
      <w:r w:rsidRPr="00FC07A4">
        <w:rPr>
          <w:rFonts w:ascii="Arial" w:eastAsia="Calibri" w:hAnsi="Arial" w:cs="Arial"/>
          <w:sz w:val="24"/>
          <w:szCs w:val="24"/>
          <w:lang w:eastAsia="en-GB"/>
        </w:rPr>
        <w:t>Off Contract and for a period of 6 years from expiry or termination of the same.</w:t>
      </w:r>
    </w:p>
    <w:p w14:paraId="52D88A4B" w14:textId="77777777" w:rsidR="00FC07A4" w:rsidRPr="00FC07A4" w:rsidRDefault="00FC07A4" w:rsidP="00FC07A4">
      <w:pPr>
        <w:numPr>
          <w:ilvl w:val="0"/>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u w:val="single"/>
          <w:lang w:eastAsia="en-GB"/>
        </w:rPr>
        <w:t>Limitations and Exclusions</w:t>
      </w:r>
      <w:r w:rsidRPr="00FC07A4">
        <w:rPr>
          <w:rFonts w:ascii="Arial" w:eastAsia="Calibri" w:hAnsi="Arial" w:cs="Arial"/>
          <w:sz w:val="24"/>
          <w:szCs w:val="24"/>
          <w:lang w:eastAsia="en-GB"/>
        </w:rPr>
        <w:t xml:space="preserve"> Any reimbursement of expenses is subject to the following exclusions and limits:</w:t>
      </w:r>
    </w:p>
    <w:p w14:paraId="583E376F" w14:textId="57B30621"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 xml:space="preserve">No expenses shall be chargeable for any Deliverables provided on a </w:t>
      </w:r>
      <w:r w:rsidR="005C2E77">
        <w:rPr>
          <w:rFonts w:ascii="Arial" w:eastAsia="Calibri" w:hAnsi="Arial" w:cs="Arial"/>
          <w:sz w:val="24"/>
          <w:szCs w:val="24"/>
          <w:lang w:eastAsia="en-GB"/>
        </w:rPr>
        <w:t>F</w:t>
      </w:r>
      <w:r w:rsidRPr="00FC07A4">
        <w:rPr>
          <w:rFonts w:ascii="Arial" w:eastAsia="Calibri" w:hAnsi="Arial" w:cs="Arial"/>
          <w:sz w:val="24"/>
          <w:szCs w:val="24"/>
          <w:lang w:eastAsia="en-GB"/>
        </w:rPr>
        <w:t xml:space="preserve">ixed </w:t>
      </w:r>
      <w:r w:rsidR="005C2E77">
        <w:rPr>
          <w:rFonts w:ascii="Arial" w:eastAsia="Calibri" w:hAnsi="Arial" w:cs="Arial"/>
          <w:sz w:val="24"/>
          <w:szCs w:val="24"/>
          <w:lang w:eastAsia="en-GB"/>
        </w:rPr>
        <w:t>P</w:t>
      </w:r>
      <w:r w:rsidRPr="00FC07A4">
        <w:rPr>
          <w:rFonts w:ascii="Arial" w:eastAsia="Calibri" w:hAnsi="Arial" w:cs="Arial"/>
          <w:sz w:val="24"/>
          <w:szCs w:val="24"/>
          <w:lang w:eastAsia="en-GB"/>
        </w:rPr>
        <w:t>rice basis.</w:t>
      </w:r>
    </w:p>
    <w:p w14:paraId="65E19582" w14:textId="29364700"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3BD0145D">
        <w:rPr>
          <w:rFonts w:ascii="Arial" w:eastAsia="Calibri" w:hAnsi="Arial" w:cs="Arial"/>
          <w:sz w:val="24"/>
          <w:szCs w:val="24"/>
          <w:lang w:eastAsia="en-GB"/>
        </w:rPr>
        <w:t xml:space="preserve">Expenses shall only be chargeable for </w:t>
      </w:r>
      <w:r w:rsidR="22CB3378" w:rsidRPr="3BD0145D">
        <w:rPr>
          <w:rFonts w:ascii="Arial" w:eastAsia="Calibri" w:hAnsi="Arial" w:cs="Arial"/>
          <w:sz w:val="24"/>
          <w:szCs w:val="24"/>
          <w:lang w:eastAsia="en-GB"/>
        </w:rPr>
        <w:t>Deliverables</w:t>
      </w:r>
      <w:r w:rsidRPr="3BD0145D">
        <w:rPr>
          <w:rFonts w:ascii="Arial" w:eastAsia="Calibri" w:hAnsi="Arial" w:cs="Arial"/>
          <w:sz w:val="24"/>
          <w:szCs w:val="24"/>
          <w:lang w:eastAsia="en-GB"/>
        </w:rPr>
        <w:t xml:space="preserve"> charge</w:t>
      </w:r>
      <w:r w:rsidR="61B66252" w:rsidRPr="3BD0145D">
        <w:rPr>
          <w:rFonts w:ascii="Arial" w:eastAsia="Calibri" w:hAnsi="Arial" w:cs="Arial"/>
          <w:sz w:val="24"/>
          <w:szCs w:val="24"/>
          <w:lang w:eastAsia="en-GB"/>
        </w:rPr>
        <w:t>d</w:t>
      </w:r>
      <w:r w:rsidRPr="3BD0145D">
        <w:rPr>
          <w:rFonts w:ascii="Arial" w:eastAsia="Calibri" w:hAnsi="Arial" w:cs="Arial"/>
          <w:sz w:val="24"/>
          <w:szCs w:val="24"/>
          <w:lang w:eastAsia="en-GB"/>
        </w:rPr>
        <w:t xml:space="preserve"> on a </w:t>
      </w:r>
      <w:r w:rsidR="005C2E77">
        <w:rPr>
          <w:rFonts w:ascii="Arial" w:eastAsia="Calibri" w:hAnsi="Arial" w:cs="Arial"/>
          <w:sz w:val="24"/>
          <w:szCs w:val="24"/>
          <w:lang w:eastAsia="en-GB"/>
        </w:rPr>
        <w:t>Capped T</w:t>
      </w:r>
      <w:r w:rsidRPr="3BD0145D">
        <w:rPr>
          <w:rFonts w:ascii="Arial" w:eastAsia="Calibri" w:hAnsi="Arial" w:cs="Arial"/>
          <w:sz w:val="24"/>
          <w:szCs w:val="24"/>
          <w:lang w:eastAsia="en-GB"/>
        </w:rPr>
        <w:t xml:space="preserve">ime and </w:t>
      </w:r>
      <w:r w:rsidR="005C2E77">
        <w:rPr>
          <w:rFonts w:ascii="Arial" w:eastAsia="Calibri" w:hAnsi="Arial" w:cs="Arial"/>
          <w:sz w:val="24"/>
          <w:szCs w:val="24"/>
          <w:lang w:eastAsia="en-GB"/>
        </w:rPr>
        <w:t>M</w:t>
      </w:r>
      <w:r w:rsidRPr="3BD0145D">
        <w:rPr>
          <w:rFonts w:ascii="Arial" w:eastAsia="Calibri" w:hAnsi="Arial" w:cs="Arial"/>
          <w:sz w:val="24"/>
          <w:szCs w:val="24"/>
          <w:lang w:eastAsia="en-GB"/>
        </w:rPr>
        <w:t>aterials basis where the Call</w:t>
      </w:r>
      <w:r w:rsidR="00B20A7B">
        <w:rPr>
          <w:rFonts w:ascii="Arial" w:eastAsia="Calibri" w:hAnsi="Arial" w:cs="Arial"/>
          <w:sz w:val="24"/>
          <w:szCs w:val="24"/>
          <w:lang w:eastAsia="en-GB"/>
        </w:rPr>
        <w:t>-</w:t>
      </w:r>
      <w:r w:rsidRPr="3BD0145D">
        <w:rPr>
          <w:rFonts w:ascii="Arial" w:eastAsia="Calibri" w:hAnsi="Arial" w:cs="Arial"/>
          <w:sz w:val="24"/>
          <w:szCs w:val="24"/>
          <w:lang w:eastAsia="en-GB"/>
        </w:rPr>
        <w:t>Off Contract explicitly specifies both:</w:t>
      </w:r>
    </w:p>
    <w:p w14:paraId="1A31838E" w14:textId="77777777" w:rsidR="00FC07A4" w:rsidRPr="00FC07A4" w:rsidRDefault="00FC07A4" w:rsidP="00F03410">
      <w:pPr>
        <w:numPr>
          <w:ilvl w:val="2"/>
          <w:numId w:val="91"/>
        </w:numPr>
        <w:overflowPunct/>
        <w:autoSpaceDE/>
        <w:autoSpaceDN/>
        <w:adjustRightInd/>
        <w:spacing w:before="120" w:after="120" w:line="240" w:lineRule="auto"/>
        <w:ind w:left="1418" w:right="101" w:hanging="567"/>
        <w:textAlignment w:val="auto"/>
        <w:rPr>
          <w:rFonts w:ascii="Arial" w:eastAsia="Calibri" w:hAnsi="Arial" w:cs="Arial"/>
          <w:sz w:val="24"/>
          <w:szCs w:val="24"/>
          <w:lang w:eastAsia="en-GB"/>
        </w:rPr>
      </w:pPr>
      <w:r w:rsidRPr="00FC07A4">
        <w:rPr>
          <w:rFonts w:ascii="Arial" w:eastAsia="Calibri" w:hAnsi="Arial" w:cs="Arial"/>
          <w:sz w:val="24"/>
          <w:szCs w:val="24"/>
          <w:lang w:eastAsia="en-GB"/>
        </w:rPr>
        <w:t xml:space="preserve">that expenses are chargeable; </w:t>
      </w:r>
      <w:r w:rsidRPr="00FC07A4">
        <w:rPr>
          <w:rFonts w:ascii="Arial" w:eastAsia="Calibri" w:hAnsi="Arial" w:cs="Arial"/>
          <w:sz w:val="24"/>
          <w:szCs w:val="24"/>
          <w:u w:val="single"/>
          <w:lang w:eastAsia="en-GB"/>
        </w:rPr>
        <w:t>and</w:t>
      </w:r>
    </w:p>
    <w:p w14:paraId="7890A491" w14:textId="62DD43EC" w:rsidR="00FC07A4" w:rsidRPr="00FC07A4" w:rsidRDefault="00FC07A4" w:rsidP="00F03410">
      <w:pPr>
        <w:numPr>
          <w:ilvl w:val="2"/>
          <w:numId w:val="91"/>
        </w:numPr>
        <w:overflowPunct/>
        <w:autoSpaceDE/>
        <w:autoSpaceDN/>
        <w:adjustRightInd/>
        <w:spacing w:before="120" w:after="120" w:line="240" w:lineRule="auto"/>
        <w:ind w:left="1418" w:right="101" w:hanging="567"/>
        <w:textAlignment w:val="auto"/>
        <w:rPr>
          <w:rFonts w:ascii="Arial" w:eastAsia="Calibri" w:hAnsi="Arial" w:cs="Arial"/>
          <w:sz w:val="24"/>
          <w:szCs w:val="24"/>
          <w:lang w:eastAsia="en-GB"/>
        </w:rPr>
      </w:pPr>
      <w:r w:rsidRPr="3BD0145D">
        <w:rPr>
          <w:rFonts w:ascii="Arial" w:eastAsia="Calibri" w:hAnsi="Arial" w:cs="Arial"/>
          <w:sz w:val="24"/>
          <w:szCs w:val="24"/>
          <w:lang w:eastAsia="en-GB"/>
        </w:rPr>
        <w:t>the total maximum capped amount for the expenses under the Call Off</w:t>
      </w:r>
      <w:r w:rsidR="00B20A7B">
        <w:rPr>
          <w:rFonts w:ascii="Arial" w:eastAsia="Calibri" w:hAnsi="Arial" w:cs="Arial"/>
          <w:sz w:val="24"/>
          <w:szCs w:val="24"/>
          <w:lang w:eastAsia="en-GB"/>
        </w:rPr>
        <w:t>-</w:t>
      </w:r>
      <w:r w:rsidRPr="3BD0145D">
        <w:rPr>
          <w:rFonts w:ascii="Arial" w:eastAsia="Calibri" w:hAnsi="Arial" w:cs="Arial"/>
          <w:sz w:val="24"/>
          <w:szCs w:val="24"/>
          <w:lang w:eastAsia="en-GB"/>
        </w:rPr>
        <w:t>Contract.</w:t>
      </w:r>
    </w:p>
    <w:p w14:paraId="6006418A" w14:textId="32B110F1"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3BD0145D">
        <w:rPr>
          <w:rFonts w:ascii="Arial" w:eastAsia="Calibri" w:hAnsi="Arial" w:cs="Arial"/>
          <w:sz w:val="24"/>
          <w:szCs w:val="24"/>
          <w:lang w:eastAsia="en-GB"/>
        </w:rPr>
        <w:t xml:space="preserve">If expenses are chargeable, </w:t>
      </w:r>
      <w:r w:rsidR="005C2E77">
        <w:rPr>
          <w:rFonts w:ascii="Arial" w:eastAsia="Calibri" w:hAnsi="Arial" w:cs="Arial"/>
          <w:sz w:val="24"/>
          <w:szCs w:val="24"/>
          <w:lang w:eastAsia="en-GB"/>
        </w:rPr>
        <w:t xml:space="preserve">they </w:t>
      </w:r>
      <w:r w:rsidRPr="3BD0145D">
        <w:rPr>
          <w:rFonts w:ascii="Arial" w:eastAsia="Calibri" w:hAnsi="Arial" w:cs="Arial"/>
          <w:sz w:val="24"/>
          <w:szCs w:val="24"/>
          <w:lang w:eastAsia="en-GB"/>
        </w:rPr>
        <w:t xml:space="preserve">will only be chargeable up to the stated capped amount. If no capped amount is stated in the </w:t>
      </w:r>
      <w:r w:rsidR="00B20A7B" w:rsidRPr="3BD0145D">
        <w:rPr>
          <w:rFonts w:ascii="Arial" w:eastAsia="Calibri" w:hAnsi="Arial" w:cs="Arial"/>
          <w:sz w:val="24"/>
          <w:szCs w:val="24"/>
          <w:lang w:eastAsia="en-GB"/>
        </w:rPr>
        <w:t>Call</w:t>
      </w:r>
      <w:r w:rsidR="00B20A7B">
        <w:rPr>
          <w:rFonts w:ascii="Arial" w:eastAsia="Calibri" w:hAnsi="Arial" w:cs="Arial"/>
          <w:sz w:val="24"/>
          <w:szCs w:val="24"/>
          <w:lang w:eastAsia="en-GB"/>
        </w:rPr>
        <w:t>-</w:t>
      </w:r>
      <w:r w:rsidRPr="3BD0145D">
        <w:rPr>
          <w:rFonts w:ascii="Arial" w:eastAsia="Calibri" w:hAnsi="Arial" w:cs="Arial"/>
          <w:sz w:val="24"/>
          <w:szCs w:val="24"/>
          <w:lang w:eastAsia="en-GB"/>
        </w:rPr>
        <w:t xml:space="preserve">Off Contract, then the capped amount shall be interpreted as zero and no expenses shall apply. </w:t>
      </w:r>
    </w:p>
    <w:p w14:paraId="6B0D3681" w14:textId="77777777"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Any claim for reimbursement of expenses must be submitted no later than monthly in arrears.</w:t>
      </w:r>
    </w:p>
    <w:p w14:paraId="74F0D7DD" w14:textId="77777777"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No expenses shall be reimbursed for Suppliers working from their normal place of business (in any location) or their home.</w:t>
      </w:r>
    </w:p>
    <w:p w14:paraId="569633CB" w14:textId="77777777" w:rsidR="00FC07A4" w:rsidRPr="00FC07A4" w:rsidRDefault="00FC07A4" w:rsidP="00FC07A4">
      <w:pPr>
        <w:numPr>
          <w:ilvl w:val="1"/>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Suppliers shall be required to provide evidence of all expenses incurred on the submission of any invoice for the same. Any claims for expenses must be submitted with evidence (copies of VAT receipts).</w:t>
      </w:r>
    </w:p>
    <w:p w14:paraId="5B4DCBFC" w14:textId="30631198" w:rsidR="00FC07A4" w:rsidRPr="00FC07A4" w:rsidRDefault="00FC07A4" w:rsidP="00FC07A4">
      <w:pPr>
        <w:numPr>
          <w:ilvl w:val="0"/>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3BD0145D">
        <w:rPr>
          <w:rFonts w:ascii="Arial" w:eastAsia="Calibri" w:hAnsi="Arial" w:cs="Arial"/>
          <w:sz w:val="24"/>
          <w:szCs w:val="24"/>
          <w:lang w:eastAsia="en-GB"/>
        </w:rPr>
        <w:t>Unless otherwise explicitly agreed under such Call</w:t>
      </w:r>
      <w:r w:rsidR="00EA0A43">
        <w:rPr>
          <w:rFonts w:ascii="Arial" w:eastAsia="Calibri" w:hAnsi="Arial" w:cs="Arial"/>
          <w:sz w:val="24"/>
          <w:szCs w:val="24"/>
          <w:lang w:eastAsia="en-GB"/>
        </w:rPr>
        <w:t>-</w:t>
      </w:r>
      <w:r w:rsidRPr="3BD0145D">
        <w:rPr>
          <w:rFonts w:ascii="Arial" w:eastAsia="Calibri" w:hAnsi="Arial" w:cs="Arial"/>
          <w:sz w:val="24"/>
          <w:szCs w:val="24"/>
          <w:lang w:eastAsia="en-GB"/>
        </w:rPr>
        <w:t>Off Contract as a variation of the application of this policy, there is no reimbursement of expenses for travel to any of the Buyer’s main offices.</w:t>
      </w:r>
    </w:p>
    <w:p w14:paraId="18B18BF0" w14:textId="669B6ACF" w:rsidR="00C356C5" w:rsidRDefault="00FC07A4" w:rsidP="00C356C5">
      <w:pPr>
        <w:numPr>
          <w:ilvl w:val="0"/>
          <w:numId w:val="91"/>
        </w:numPr>
        <w:overflowPunct/>
        <w:autoSpaceDE/>
        <w:autoSpaceDN/>
        <w:adjustRightInd/>
        <w:spacing w:before="120" w:after="120" w:line="240" w:lineRule="auto"/>
        <w:ind w:right="101"/>
        <w:textAlignment w:val="auto"/>
        <w:rPr>
          <w:rFonts w:ascii="Arial" w:eastAsia="Calibri" w:hAnsi="Arial" w:cs="Arial"/>
          <w:sz w:val="24"/>
          <w:szCs w:val="24"/>
          <w:lang w:eastAsia="en-GB"/>
        </w:rPr>
      </w:pPr>
      <w:r w:rsidRPr="00FC07A4">
        <w:rPr>
          <w:rFonts w:ascii="Arial" w:eastAsia="Calibri" w:hAnsi="Arial" w:cs="Arial"/>
          <w:sz w:val="24"/>
          <w:szCs w:val="24"/>
          <w:lang w:eastAsia="en-GB"/>
        </w:rPr>
        <w:t>Subject to the above, only the following categories of expenses would be reimbursable. Where expenses are chargeable, such expense claims must also meet the following criteria:</w:t>
      </w:r>
    </w:p>
    <w:p w14:paraId="735D6874" w14:textId="77777777" w:rsidR="00C356C5" w:rsidRPr="00FC07A4" w:rsidRDefault="00C356C5" w:rsidP="00C356C5">
      <w:pPr>
        <w:overflowPunct/>
        <w:autoSpaceDE/>
        <w:autoSpaceDN/>
        <w:adjustRightInd/>
        <w:spacing w:before="120" w:after="120" w:line="240" w:lineRule="auto"/>
        <w:ind w:right="101"/>
        <w:textAlignment w:val="auto"/>
        <w:rPr>
          <w:rFonts w:ascii="Arial" w:eastAsia="Calibri" w:hAnsi="Arial" w:cs="Arial"/>
          <w:sz w:val="24"/>
          <w:szCs w:val="24"/>
          <w:lang w:eastAsia="en-GB"/>
        </w:rPr>
      </w:pPr>
    </w:p>
    <w:tbl>
      <w:tblPr>
        <w:tblW w:w="9882" w:type="dxa"/>
        <w:tblInd w:w="-10" w:type="dxa"/>
        <w:tblCellMar>
          <w:left w:w="0" w:type="dxa"/>
          <w:right w:w="0" w:type="dxa"/>
        </w:tblCellMar>
        <w:tblLook w:val="04A0" w:firstRow="1" w:lastRow="0" w:firstColumn="1" w:lastColumn="0" w:noHBand="0" w:noVBand="1"/>
      </w:tblPr>
      <w:tblGrid>
        <w:gridCol w:w="2670"/>
        <w:gridCol w:w="7212"/>
      </w:tblGrid>
      <w:tr w:rsidR="007E5957" w:rsidRPr="007E5957" w14:paraId="4B93D2E4" w14:textId="77777777" w:rsidTr="00A11DE5">
        <w:trPr>
          <w:cantSplit/>
          <w:trHeight w:val="692"/>
          <w:tblHeader/>
        </w:trPr>
        <w:tc>
          <w:tcPr>
            <w:tcW w:w="26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5F6C0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xml:space="preserve">  </w:t>
            </w:r>
            <w:r w:rsidRPr="007E5957">
              <w:rPr>
                <w:rFonts w:ascii="Arial" w:eastAsia="Calibri" w:hAnsi="Arial" w:cs="Arial"/>
                <w:b/>
                <w:bCs/>
                <w:color w:val="000000"/>
                <w:sz w:val="24"/>
                <w:szCs w:val="24"/>
              </w:rPr>
              <w:t xml:space="preserve">Expenditure </w:t>
            </w:r>
          </w:p>
          <w:p w14:paraId="28BF1E9B" w14:textId="77777777" w:rsidR="007E5957" w:rsidRPr="007E5957" w:rsidRDefault="007E5957" w:rsidP="007E5957">
            <w:pPr>
              <w:overflowPunct/>
              <w:autoSpaceDE/>
              <w:autoSpaceDN/>
              <w:adjustRightInd/>
              <w:spacing w:after="0" w:line="240" w:lineRule="auto"/>
              <w:ind w:left="313" w:hanging="313"/>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  Type</w:t>
            </w:r>
          </w:p>
        </w:tc>
        <w:tc>
          <w:tcPr>
            <w:tcW w:w="72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05FBA5"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Key Points</w:t>
            </w:r>
          </w:p>
        </w:tc>
      </w:tr>
      <w:tr w:rsidR="007E5957" w:rsidRPr="007E5957" w14:paraId="1C011266" w14:textId="77777777" w:rsidTr="00A11DE5">
        <w:trPr>
          <w:cantSplit/>
        </w:trPr>
        <w:tc>
          <w:tcPr>
            <w:tcW w:w="98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E4887"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TRAVEL</w:t>
            </w:r>
          </w:p>
        </w:tc>
      </w:tr>
      <w:tr w:rsidR="007E5957" w:rsidRPr="007E5957" w14:paraId="2B12DD24"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A51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Car Parking</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14:paraId="5569B7D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 Buyer will reimburse necessary and reasonable parking costs only.</w:t>
            </w:r>
          </w:p>
          <w:p w14:paraId="53BD953B"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w:t>
            </w:r>
          </w:p>
        </w:tc>
      </w:tr>
      <w:tr w:rsidR="007E5957" w:rsidRPr="007E5957" w14:paraId="4AAFEB41"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A665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lastRenderedPageBreak/>
              <w:t>Mileage</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14:paraId="42F54DFB"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u w:val="single"/>
              </w:rPr>
            </w:pPr>
            <w:r w:rsidRPr="007E5957">
              <w:rPr>
                <w:rFonts w:ascii="Arial" w:eastAsia="Calibri" w:hAnsi="Arial" w:cs="Arial"/>
                <w:b/>
                <w:bCs/>
                <w:color w:val="000000"/>
                <w:sz w:val="24"/>
                <w:szCs w:val="24"/>
                <w:u w:val="single"/>
              </w:rPr>
              <w:t>There are no mileage expenses payable for delivery of services from the Buyer’s main offices, and Supplier’s main sites, as listed for delivery of the services.</w:t>
            </w:r>
          </w:p>
          <w:p w14:paraId="57BD745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1A26205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xml:space="preserve">If the </w:t>
            </w:r>
            <w:r w:rsidRPr="007E5957">
              <w:rPr>
                <w:rFonts w:ascii="Arial" w:eastAsia="Verdana" w:hAnsi="Arial" w:cs="Arial"/>
                <w:color w:val="000000"/>
                <w:sz w:val="24"/>
                <w:szCs w:val="24"/>
                <w:lang w:eastAsia="en-GB"/>
              </w:rPr>
              <w:t>Supplier</w:t>
            </w:r>
            <w:r w:rsidRPr="007E5957">
              <w:rPr>
                <w:rFonts w:ascii="Arial" w:eastAsia="Calibri" w:hAnsi="Arial" w:cs="Arial"/>
                <w:color w:val="000000"/>
                <w:sz w:val="24"/>
                <w:szCs w:val="24"/>
              </w:rPr>
              <w:t xml:space="preserve"> travels to another place, other than their identified place of work, in order to perform their duties and go there straight from their home or return direct to their home after such a visit, the claim for mileage costs, should be for the lesser of: </w:t>
            </w:r>
          </w:p>
          <w:p w14:paraId="43B3ED3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a) the mileage expenses actually travelled, and</w:t>
            </w:r>
          </w:p>
          <w:p w14:paraId="68A1477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b) the expenses, which would have been incurred if the journey had started and finished at the normal place of work.</w:t>
            </w:r>
          </w:p>
          <w:p w14:paraId="0E3FF90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47403B2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If the personal circumstances and location of a particular individual lead to claims becoming excessive, the Buyer reserves the right to review and amend such claims as appropriate.</w:t>
            </w:r>
          </w:p>
          <w:p w14:paraId="062961CB"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7C99656F"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 mileage reimbursement rate is 56p per mile unless agreed otherwise in advance between the Supplier and the Buyer.</w:t>
            </w:r>
          </w:p>
          <w:p w14:paraId="23D55879"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w:t>
            </w:r>
          </w:p>
        </w:tc>
      </w:tr>
      <w:tr w:rsidR="007E5957" w:rsidRPr="007E5957" w14:paraId="78F7C2A3"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0F98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 xml:space="preserve">Taxis </w:t>
            </w:r>
          </w:p>
          <w:p w14:paraId="26D16C8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Tolls &amp;</w:t>
            </w:r>
          </w:p>
          <w:p w14:paraId="4B3CA778"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Congestion</w:t>
            </w:r>
          </w:p>
          <w:p w14:paraId="70F1842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Charges</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14:paraId="7C68AD87"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Taxi - used where own/company car use is impractical or hire car is not available.</w:t>
            </w:r>
          </w:p>
          <w:p w14:paraId="56D6058F"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Unavoidable road tolls and congestion charges. For example, Severn Bridge Toll, London Congestion Charge</w:t>
            </w:r>
          </w:p>
          <w:p w14:paraId="6BA01FFB"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tc>
      </w:tr>
      <w:tr w:rsidR="007E5957" w:rsidRPr="007E5957" w14:paraId="553FF653"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2DB21"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Travel</w:t>
            </w:r>
          </w:p>
          <w:p w14:paraId="26CD5AD4"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(Public</w:t>
            </w:r>
          </w:p>
          <w:p w14:paraId="2F2248B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Transport)</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14:paraId="514B6154"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u w:val="single"/>
              </w:rPr>
            </w:pPr>
            <w:r w:rsidRPr="007E5957">
              <w:rPr>
                <w:rFonts w:ascii="Arial" w:eastAsia="Calibri" w:hAnsi="Arial" w:cs="Arial"/>
                <w:b/>
                <w:bCs/>
                <w:color w:val="000000"/>
                <w:sz w:val="24"/>
                <w:szCs w:val="24"/>
                <w:u w:val="single"/>
              </w:rPr>
              <w:t>Flights will not be reimbursed at any time unless specifically agreed in writing advance with the Buyer.</w:t>
            </w:r>
          </w:p>
          <w:p w14:paraId="53E1A1B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1206C1C7"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Trains or buses used in the course of business travel.</w:t>
            </w:r>
          </w:p>
          <w:p w14:paraId="2844BB4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Rail travel shall be considered when:</w:t>
            </w:r>
          </w:p>
          <w:p w14:paraId="6FD126F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Train fare is less expensive than car travel</w:t>
            </w:r>
          </w:p>
          <w:p w14:paraId="45D00CCC"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Door-to-door transit time is improved, or comparable to car travel</w:t>
            </w:r>
          </w:p>
          <w:p w14:paraId="5987C3C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Driving presents an inconvenience or business risk (i.e. traffic)</w:t>
            </w:r>
          </w:p>
          <w:p w14:paraId="486D8E31"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All rail travel, including travel by Eurostar, must be economy or standard class (unless agreed otherwise in advance in writing by the Buyer).</w:t>
            </w:r>
          </w:p>
          <w:p w14:paraId="2DF4C7CB"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u w:val="single"/>
              </w:rPr>
            </w:pPr>
            <w:r w:rsidRPr="007E5957">
              <w:rPr>
                <w:rFonts w:ascii="Arial" w:eastAsia="Calibri" w:hAnsi="Arial" w:cs="Arial"/>
                <w:b/>
                <w:bCs/>
                <w:color w:val="000000"/>
                <w:sz w:val="24"/>
                <w:szCs w:val="24"/>
                <w:u w:val="single"/>
              </w:rPr>
              <w:t>First class train fare will not be reimbursed.</w:t>
            </w:r>
          </w:p>
          <w:p w14:paraId="22A16FF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In order to reduce costs, where possible, rail bookings should be made more than seven (7) days in advance.</w:t>
            </w:r>
          </w:p>
          <w:p w14:paraId="2652346C"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 lowest available rail fare offered should be accepted and advantage taken of any restricted fares offered where possible.</w:t>
            </w:r>
          </w:p>
          <w:p w14:paraId="3AB1E23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tc>
      </w:tr>
      <w:tr w:rsidR="007E5957" w:rsidRPr="007E5957" w14:paraId="694D4791" w14:textId="77777777" w:rsidTr="00A11DE5">
        <w:trPr>
          <w:cantSplit/>
        </w:trPr>
        <w:tc>
          <w:tcPr>
            <w:tcW w:w="98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9BDA6" w14:textId="77777777" w:rsidR="007E5957" w:rsidRPr="007E5957" w:rsidRDefault="007E5957" w:rsidP="00A11DE5">
            <w:pPr>
              <w:keepNext/>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lastRenderedPageBreak/>
              <w:t>ACCOMMODATION</w:t>
            </w:r>
          </w:p>
        </w:tc>
      </w:tr>
      <w:tr w:rsidR="007E5957" w:rsidRPr="007E5957" w14:paraId="65548E04"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F83B4"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Hotels</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14:paraId="522C7E29"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Hotel rates are limited by the Buyer to £100 including breakfast, per day, outside of London and £150 including breakfast, per day, within the M25.</w:t>
            </w:r>
          </w:p>
          <w:p w14:paraId="0FF0C8B5"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23508B1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If an individual cannot find a hotel within these rates then the identified rate will be used as a cap on the actual invoice value and any amount above this will not be charged to the Buyer.</w:t>
            </w:r>
          </w:p>
          <w:p w14:paraId="63F5BCB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w:t>
            </w:r>
          </w:p>
        </w:tc>
      </w:tr>
      <w:tr w:rsidR="007E5957" w:rsidRPr="007E5957" w14:paraId="60B00117" w14:textId="77777777" w:rsidTr="00A11DE5">
        <w:trPr>
          <w:cantSplit/>
        </w:trPr>
        <w:tc>
          <w:tcPr>
            <w:tcW w:w="98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26BC"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MEALS &amp; SUBSISTENCE</w:t>
            </w:r>
          </w:p>
        </w:tc>
      </w:tr>
      <w:tr w:rsidR="007E5957" w:rsidRPr="007E5957" w14:paraId="14469017"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6C6D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Meals</w:t>
            </w:r>
          </w:p>
        </w:tc>
        <w:tc>
          <w:tcPr>
            <w:tcW w:w="7212" w:type="dxa"/>
            <w:tcBorders>
              <w:top w:val="nil"/>
              <w:left w:val="nil"/>
              <w:bottom w:val="single" w:sz="8" w:space="0" w:color="auto"/>
              <w:right w:val="single" w:sz="8" w:space="0" w:color="auto"/>
            </w:tcBorders>
            <w:tcMar>
              <w:top w:w="0" w:type="dxa"/>
              <w:left w:w="108" w:type="dxa"/>
              <w:bottom w:w="0" w:type="dxa"/>
              <w:right w:w="108" w:type="dxa"/>
            </w:tcMar>
          </w:tcPr>
          <w:p w14:paraId="79A8019F"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Cost of meals will only be reimbursed if overnight solely on the Buyer business, or where pre-6am morning / post 9pm late evening travel is required (see Qualifying Trips below).</w:t>
            </w:r>
          </w:p>
          <w:p w14:paraId="3D531BD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A daily limit of £20 per day applies.</w:t>
            </w:r>
          </w:p>
          <w:p w14:paraId="385FA9F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On qualifying dates, the Buyer will reimburse for breakfast, lunch and/or dinner up to the total daily limit.</w:t>
            </w:r>
          </w:p>
          <w:p w14:paraId="49079483"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p>
          <w:p w14:paraId="42D9392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Qualifying Trips</w:t>
            </w:r>
          </w:p>
          <w:p w14:paraId="2271BB8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Meals may be reimbursed only when Suppliers:</w:t>
            </w:r>
          </w:p>
          <w:p w14:paraId="0032D16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are required to stay away from home overnight whilst solely on the Buyer business, or</w:t>
            </w:r>
          </w:p>
          <w:p w14:paraId="389917B8"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are working away from their main office base for a single day, and either leave home before 06:00 or return home after 21:00.</w:t>
            </w:r>
          </w:p>
          <w:p w14:paraId="642FAE8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tc>
      </w:tr>
      <w:tr w:rsidR="007E5957" w:rsidRPr="007E5957" w14:paraId="490000E5" w14:textId="77777777" w:rsidTr="00A11DE5">
        <w:trPr>
          <w:cantSplit/>
        </w:trPr>
        <w:tc>
          <w:tcPr>
            <w:tcW w:w="98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2742E" w14:textId="77777777" w:rsidR="007E5957" w:rsidRPr="007E5957" w:rsidRDefault="007E5957" w:rsidP="00A11DE5">
            <w:pPr>
              <w:keepNext/>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lastRenderedPageBreak/>
              <w:t>OTHER BILLABLE EXPENSES</w:t>
            </w:r>
          </w:p>
        </w:tc>
      </w:tr>
      <w:tr w:rsidR="007E5957" w:rsidRPr="007E5957" w14:paraId="06A4F449" w14:textId="77777777" w:rsidTr="00A11DE5">
        <w:trPr>
          <w:cantSplit/>
        </w:trPr>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F3885"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Personal</w:t>
            </w:r>
          </w:p>
          <w:p w14:paraId="4E980C4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Overnight Incidental</w:t>
            </w:r>
          </w:p>
          <w:p w14:paraId="3A1CB27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Expenses</w:t>
            </w:r>
          </w:p>
          <w:p w14:paraId="79F7B740"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i/>
                <w:iCs/>
                <w:color w:val="000000"/>
                <w:sz w:val="24"/>
                <w:szCs w:val="24"/>
              </w:rPr>
              <w:t> </w:t>
            </w:r>
          </w:p>
          <w:p w14:paraId="2F3E16A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i/>
                <w:iCs/>
                <w:color w:val="000000"/>
                <w:sz w:val="24"/>
                <w:szCs w:val="24"/>
              </w:rPr>
              <w:t>“Daily</w:t>
            </w:r>
          </w:p>
          <w:p w14:paraId="7BF7B6A4"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i/>
                <w:iCs/>
                <w:color w:val="000000"/>
                <w:sz w:val="24"/>
                <w:szCs w:val="24"/>
              </w:rPr>
              <w:t>Allowance”</w:t>
            </w:r>
          </w:p>
        </w:tc>
        <w:tc>
          <w:tcPr>
            <w:tcW w:w="7212" w:type="dxa"/>
            <w:tcBorders>
              <w:top w:val="nil"/>
              <w:left w:val="nil"/>
              <w:bottom w:val="single" w:sz="8" w:space="0" w:color="auto"/>
              <w:right w:val="single" w:sz="8" w:space="0" w:color="auto"/>
            </w:tcBorders>
            <w:tcMar>
              <w:top w:w="0" w:type="dxa"/>
              <w:left w:w="108" w:type="dxa"/>
              <w:bottom w:w="0" w:type="dxa"/>
              <w:right w:w="108" w:type="dxa"/>
            </w:tcMar>
          </w:tcPr>
          <w:p w14:paraId="6926B7B3"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u w:val="single"/>
              </w:rPr>
            </w:pPr>
            <w:r w:rsidRPr="007E5957">
              <w:rPr>
                <w:rFonts w:ascii="Arial" w:eastAsia="Calibri" w:hAnsi="Arial" w:cs="Arial"/>
                <w:b/>
                <w:bCs/>
                <w:color w:val="000000"/>
                <w:sz w:val="24"/>
                <w:szCs w:val="24"/>
                <w:u w:val="single"/>
              </w:rPr>
              <w:t>No Personal Overnight Incidental Expenses will apply where the individual is providing services for one day only and/or not staying overnight.</w:t>
            </w:r>
          </w:p>
          <w:p w14:paraId="0D622D44"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p>
          <w:p w14:paraId="0A6F380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xml:space="preserve">The Buyer will reimburse personal incidental expenses incurred as a result of an </w:t>
            </w:r>
            <w:r w:rsidRPr="007E5957">
              <w:rPr>
                <w:rFonts w:ascii="Arial" w:eastAsia="Calibri" w:hAnsi="Arial" w:cs="Arial"/>
                <w:color w:val="000000"/>
                <w:sz w:val="24"/>
                <w:szCs w:val="24"/>
                <w:u w:val="single"/>
              </w:rPr>
              <w:t>overnigh</w:t>
            </w:r>
            <w:r w:rsidRPr="007E5957">
              <w:rPr>
                <w:rFonts w:ascii="Arial" w:eastAsia="Calibri" w:hAnsi="Arial" w:cs="Arial"/>
                <w:color w:val="000000"/>
                <w:sz w:val="24"/>
                <w:szCs w:val="24"/>
              </w:rPr>
              <w:t>t stay away from home, where such expenses are incurred directly as a result of business travel for the Buyer service only.</w:t>
            </w:r>
          </w:p>
          <w:p w14:paraId="67C4884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Claims are subject to daily limits set by HM Revenue and Customs (currently up to £4.25 per day for overnight stays within the UK).</w:t>
            </w:r>
          </w:p>
          <w:p w14:paraId="79AE0188"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p>
          <w:p w14:paraId="237DBF8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The following items may be reimbursed where reasonable:</w:t>
            </w:r>
          </w:p>
          <w:p w14:paraId="2A28B6D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drinks other than with meals (but not alcohol).</w:t>
            </w:r>
          </w:p>
          <w:p w14:paraId="76FC37EA"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laundry services (only for stays away from home of 5 consecutive nights or more) where work is performed solely for the Buyer.</w:t>
            </w:r>
          </w:p>
          <w:p w14:paraId="44FA00F9"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p>
          <w:p w14:paraId="460418C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The Buyer will not reimburse for:</w:t>
            </w:r>
          </w:p>
          <w:p w14:paraId="2636D58C"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personal calls</w:t>
            </w:r>
          </w:p>
          <w:p w14:paraId="20AB142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incidental food and beverage items (e.g. snacks, coffees) taken during the day (other than as Meals)</w:t>
            </w:r>
          </w:p>
          <w:p w14:paraId="5E301FA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newspapers, magazines</w:t>
            </w:r>
          </w:p>
          <w:p w14:paraId="773A8E6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in-room movies</w:t>
            </w:r>
          </w:p>
          <w:p w14:paraId="1C75C54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personal travel items (such as luggage or clothing)</w:t>
            </w:r>
          </w:p>
          <w:p w14:paraId="6D1D4586"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toiletries</w:t>
            </w:r>
          </w:p>
          <w:p w14:paraId="170109A3"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stationery</w:t>
            </w:r>
          </w:p>
          <w:p w14:paraId="1DDB71AE"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w:t>
            </w:r>
          </w:p>
        </w:tc>
      </w:tr>
      <w:tr w:rsidR="007E5957" w:rsidRPr="007E5957" w14:paraId="288A6B33" w14:textId="77777777" w:rsidTr="00A11DE5">
        <w:trPr>
          <w:cantSplit/>
        </w:trPr>
        <w:tc>
          <w:tcPr>
            <w:tcW w:w="26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3C405B"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Hotel Internet</w:t>
            </w:r>
          </w:p>
          <w:p w14:paraId="7F7DA07F"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b/>
                <w:bCs/>
                <w:color w:val="000000"/>
                <w:sz w:val="24"/>
                <w:szCs w:val="24"/>
              </w:rPr>
              <w:t>Calls</w:t>
            </w:r>
          </w:p>
        </w:tc>
        <w:tc>
          <w:tcPr>
            <w:tcW w:w="7212" w:type="dxa"/>
            <w:tcBorders>
              <w:top w:val="nil"/>
              <w:left w:val="nil"/>
              <w:bottom w:val="single" w:sz="4" w:space="0" w:color="auto"/>
              <w:right w:val="single" w:sz="8" w:space="0" w:color="auto"/>
            </w:tcBorders>
            <w:tcMar>
              <w:top w:w="0" w:type="dxa"/>
              <w:left w:w="108" w:type="dxa"/>
              <w:bottom w:w="0" w:type="dxa"/>
              <w:right w:w="108" w:type="dxa"/>
            </w:tcMar>
          </w:tcPr>
          <w:p w14:paraId="1183263F"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Itemised on the hotel bill for internet access and strictly Buyer business use only. Such use for Buyer business must be proven.</w:t>
            </w:r>
          </w:p>
          <w:p w14:paraId="6F5EF28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xml:space="preserve">This may only be reimbursed up to a cap of £5/day. </w:t>
            </w:r>
          </w:p>
        </w:tc>
      </w:tr>
      <w:tr w:rsidR="007E5957" w:rsidRPr="007E5957" w14:paraId="1B4126EB" w14:textId="77777777" w:rsidTr="00A11DE5">
        <w:trPr>
          <w:cantSplit/>
        </w:trPr>
        <w:tc>
          <w:tcPr>
            <w:tcW w:w="988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3F54AC"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p>
          <w:p w14:paraId="55A03FD2"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NON BILLABLE ITEMS</w:t>
            </w:r>
          </w:p>
          <w:p w14:paraId="7FBD465C"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For the avoidance of doubt, the following items are not chargeable.</w:t>
            </w:r>
          </w:p>
        </w:tc>
      </w:tr>
      <w:tr w:rsidR="007E5957" w:rsidRPr="007E5957" w14:paraId="4B4E7482" w14:textId="77777777" w:rsidTr="00A11DE5">
        <w:trPr>
          <w:cantSplit/>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7EC3A3"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Telecommunications, mobiles</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241BE1"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These are classed as standard supplier overheads, therefore are not expenses and not reimbursable.</w:t>
            </w:r>
          </w:p>
        </w:tc>
      </w:tr>
      <w:tr w:rsidR="007E5957" w:rsidRPr="007E5957" w14:paraId="6FB67E51" w14:textId="77777777" w:rsidTr="00A11DE5">
        <w:trPr>
          <w:cantSplit/>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BD87D1D" w14:textId="77777777" w:rsidR="007E5957" w:rsidRPr="007E5957" w:rsidRDefault="007E5957" w:rsidP="007E5957">
            <w:pPr>
              <w:overflowPunct/>
              <w:autoSpaceDE/>
              <w:autoSpaceDN/>
              <w:adjustRightInd/>
              <w:spacing w:after="0" w:line="240" w:lineRule="auto"/>
              <w:jc w:val="left"/>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VISAs, Permission to work permits, etc.</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448BD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These are classed as standard supplier overheads, therefore are not expenses and not reimbursable.</w:t>
            </w:r>
          </w:p>
        </w:tc>
      </w:tr>
      <w:tr w:rsidR="007E5957" w:rsidRPr="007E5957" w14:paraId="7DD2626E" w14:textId="77777777" w:rsidTr="00A11DE5">
        <w:trPr>
          <w:cantSplit/>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18CBE2"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Security Accreditation</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526AA8"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These are classed as standard supplier overheads, therefore are not expenses and not reimbursable.</w:t>
            </w:r>
          </w:p>
        </w:tc>
      </w:tr>
      <w:tr w:rsidR="007E5957" w:rsidRPr="007E5957" w14:paraId="6E1B47CE" w14:textId="77777777" w:rsidTr="00A11DE5">
        <w:trPr>
          <w:cantSplit/>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170708"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Office space, facilities</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757522"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These are classed as standard supplier overheads, therefore are not expenses and not reimbursable.</w:t>
            </w:r>
          </w:p>
        </w:tc>
      </w:tr>
      <w:tr w:rsidR="007E5957" w:rsidRPr="007E5957" w14:paraId="36813E07" w14:textId="77777777" w:rsidTr="00A11DE5">
        <w:trPr>
          <w:cantSplit/>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9E9B5B" w14:textId="77777777" w:rsidR="007E5957" w:rsidRPr="007E5957" w:rsidRDefault="007E5957" w:rsidP="007E5957">
            <w:pPr>
              <w:overflowPunct/>
              <w:autoSpaceDE/>
              <w:autoSpaceDN/>
              <w:adjustRightInd/>
              <w:spacing w:after="0" w:line="240" w:lineRule="auto"/>
              <w:jc w:val="left"/>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t>Costs of relocation of any kind from other jurisdictions</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BAACBB"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These are classed as standard supplier overheads, therefore are not expenses and not reimbursable.</w:t>
            </w:r>
          </w:p>
        </w:tc>
      </w:tr>
      <w:tr w:rsidR="007E5957" w:rsidRPr="007E5957" w14:paraId="502EE7EE" w14:textId="77777777" w:rsidTr="00A11DE5">
        <w:trPr>
          <w:cantSplit/>
          <w:trHeight w:val="85"/>
        </w:trPr>
        <w:tc>
          <w:tcPr>
            <w:tcW w:w="2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7355FF2" w14:textId="77777777" w:rsidR="007E5957" w:rsidRPr="007E5957" w:rsidRDefault="007E5957" w:rsidP="007E5957">
            <w:pPr>
              <w:overflowPunct/>
              <w:autoSpaceDE/>
              <w:autoSpaceDN/>
              <w:adjustRightInd/>
              <w:spacing w:after="0" w:line="240" w:lineRule="auto"/>
              <w:textAlignment w:val="auto"/>
              <w:rPr>
                <w:rFonts w:ascii="Arial" w:eastAsia="Calibri" w:hAnsi="Arial" w:cs="Arial"/>
                <w:b/>
                <w:bCs/>
                <w:color w:val="000000"/>
                <w:sz w:val="24"/>
                <w:szCs w:val="24"/>
              </w:rPr>
            </w:pPr>
            <w:r w:rsidRPr="007E5957">
              <w:rPr>
                <w:rFonts w:ascii="Arial" w:eastAsia="Calibri" w:hAnsi="Arial" w:cs="Arial"/>
                <w:b/>
                <w:bCs/>
                <w:color w:val="000000"/>
                <w:sz w:val="24"/>
                <w:szCs w:val="24"/>
              </w:rPr>
              <w:lastRenderedPageBreak/>
              <w:t>Laptops for Suppliers</w:t>
            </w:r>
          </w:p>
        </w:tc>
        <w:tc>
          <w:tcPr>
            <w:tcW w:w="72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AE92BD" w14:textId="77777777"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 xml:space="preserve">These are classed as standard supplier overheads, therefore are not expenses and not reimbursable. </w:t>
            </w:r>
          </w:p>
          <w:p w14:paraId="454055F8" w14:textId="0EA6846A" w:rsidR="007E5957" w:rsidRPr="007E5957" w:rsidRDefault="007E5957" w:rsidP="007E5957">
            <w:pPr>
              <w:overflowPunct/>
              <w:autoSpaceDE/>
              <w:autoSpaceDN/>
              <w:adjustRightInd/>
              <w:spacing w:after="0" w:line="240" w:lineRule="auto"/>
              <w:textAlignment w:val="auto"/>
              <w:rPr>
                <w:rFonts w:ascii="Arial" w:eastAsia="Calibri" w:hAnsi="Arial" w:cs="Arial"/>
                <w:color w:val="000000"/>
                <w:sz w:val="24"/>
                <w:szCs w:val="24"/>
              </w:rPr>
            </w:pPr>
            <w:r w:rsidRPr="007E5957">
              <w:rPr>
                <w:rFonts w:ascii="Arial" w:eastAsia="Calibri" w:hAnsi="Arial" w:cs="Arial"/>
                <w:color w:val="000000"/>
                <w:sz w:val="24"/>
                <w:szCs w:val="24"/>
              </w:rPr>
              <w:t>Please note Suppliers are responsible for the</w:t>
            </w:r>
            <w:r w:rsidR="00ED5CAD">
              <w:rPr>
                <w:rFonts w:ascii="Arial" w:eastAsia="Calibri" w:hAnsi="Arial" w:cs="Arial"/>
                <w:color w:val="000000"/>
                <w:sz w:val="24"/>
                <w:szCs w:val="24"/>
              </w:rPr>
              <w:t xml:space="preserve"> additional</w:t>
            </w:r>
            <w:r w:rsidRPr="007E5957">
              <w:rPr>
                <w:rFonts w:ascii="Arial" w:eastAsia="Calibri" w:hAnsi="Arial" w:cs="Arial"/>
                <w:color w:val="000000"/>
                <w:sz w:val="24"/>
                <w:szCs w:val="24"/>
              </w:rPr>
              <w:t xml:space="preserve"> incremental costs of any security software required to access the Buyer’s network.</w:t>
            </w:r>
          </w:p>
        </w:tc>
      </w:tr>
    </w:tbl>
    <w:p w14:paraId="13974F92" w14:textId="77777777" w:rsidR="004F4EFE" w:rsidRDefault="004F4EFE" w:rsidP="00CC4D45">
      <w:pPr>
        <w:pStyle w:val="GPSL2Numbered"/>
      </w:pPr>
    </w:p>
    <w:p w14:paraId="2ED448B7" w14:textId="77777777" w:rsidR="004F4EFE" w:rsidRPr="006C08A4" w:rsidRDefault="004F4EFE" w:rsidP="004F4EFE">
      <w:pPr>
        <w:overflowPunct/>
        <w:autoSpaceDE/>
        <w:adjustRightInd/>
        <w:spacing w:after="0"/>
        <w:textAlignment w:val="auto"/>
        <w:rPr>
          <w:rFonts w:ascii="Arial" w:eastAsia="Verdana" w:hAnsi="Arial" w:cs="Verdana"/>
          <w:color w:val="000000"/>
          <w:sz w:val="24"/>
          <w:lang w:eastAsia="en-GB"/>
        </w:rPr>
      </w:pPr>
      <w:bookmarkStart w:id="8" w:name="_GoBack"/>
      <w:bookmarkEnd w:id="8"/>
    </w:p>
    <w:sectPr w:rsidR="004F4EFE" w:rsidRPr="006C08A4">
      <w:headerReference w:type="default"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B63C" w16cex:dateUtc="2020-07-31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CB57" w14:textId="77777777" w:rsidR="002C0F58" w:rsidRDefault="002C0F58">
      <w:pPr>
        <w:spacing w:after="0" w:line="20" w:lineRule="exact"/>
      </w:pPr>
    </w:p>
  </w:endnote>
  <w:endnote w:type="continuationSeparator" w:id="0">
    <w:p w14:paraId="04DC23CF" w14:textId="77777777" w:rsidR="002C0F58" w:rsidRDefault="002C0F58">
      <w:pPr>
        <w:spacing w:after="0" w:line="20" w:lineRule="exact"/>
      </w:pPr>
    </w:p>
  </w:endnote>
  <w:endnote w:type="continuationNotice" w:id="1">
    <w:p w14:paraId="6CE71BEB" w14:textId="77777777" w:rsidR="002C0F58" w:rsidRDefault="002C0F58">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1665" w14:textId="77777777" w:rsidR="0024722D" w:rsidRDefault="0024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A54A" w14:textId="77777777" w:rsidR="00D148DE" w:rsidRDefault="00D148DE">
    <w:pPr>
      <w:tabs>
        <w:tab w:val="center" w:pos="4513"/>
        <w:tab w:val="right" w:pos="9026"/>
      </w:tabs>
      <w:spacing w:after="0" w:line="240" w:lineRule="auto"/>
      <w:rPr>
        <w:rFonts w:ascii="Calibri" w:hAnsi="Calibri" w:cs="Arial"/>
        <w:szCs w:val="22"/>
      </w:rPr>
    </w:pPr>
  </w:p>
  <w:p w14:paraId="4F26B118" w14:textId="77777777" w:rsidR="00D148DE" w:rsidRDefault="00D148DE">
    <w:pPr>
      <w:tabs>
        <w:tab w:val="center" w:pos="4513"/>
        <w:tab w:val="right" w:pos="9026"/>
      </w:tabs>
      <w:spacing w:after="0" w:line="240" w:lineRule="auto"/>
      <w:rPr>
        <w:rFonts w:ascii="Calibri" w:hAnsi="Calibri" w:cs="Arial"/>
        <w:szCs w:val="22"/>
      </w:rPr>
    </w:pPr>
    <w:r>
      <w:rPr>
        <w:rFonts w:ascii="Calibri" w:hAnsi="Calibri" w:cs="Arial"/>
        <w:szCs w:val="22"/>
      </w:rPr>
      <w:t>Ref: RM3830</w:t>
    </w:r>
  </w:p>
  <w:p w14:paraId="1A64BBD0" w14:textId="77777777" w:rsidR="00D148DE" w:rsidRDefault="00D148DE">
    <w:pPr>
      <w:spacing w:after="0" w:line="240" w:lineRule="auto"/>
      <w:rPr>
        <w:rStyle w:val="PageNumber"/>
        <w:i/>
        <w:iCs/>
        <w:vanish/>
        <w:sz w:val="16"/>
        <w:szCs w:val="16"/>
      </w:rPr>
    </w:pPr>
    <w:r>
      <w:rPr>
        <w:rFonts w:ascii="Calibri" w:hAnsi="Calibri" w:cs="Arial"/>
        <w:szCs w:val="22"/>
      </w:rPr>
      <w:t>FM Project Version: 1.A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5B4E" w14:textId="77777777" w:rsidR="00D148DE" w:rsidRDefault="00D148DE" w:rsidP="00C973D8">
    <w:pPr>
      <w:pStyle w:val="Footer"/>
      <w:rPr>
        <w:rFonts w:ascii="Arial" w:hAnsi="Arial" w:cs="Arial"/>
        <w:sz w:val="20"/>
      </w:rPr>
    </w:pPr>
  </w:p>
  <w:p w14:paraId="61428EA5" w14:textId="042D0072" w:rsidR="00D148DE" w:rsidRPr="004D7CEB" w:rsidRDefault="00D148DE" w:rsidP="00C973D8">
    <w:pPr>
      <w:pStyle w:val="Footer"/>
      <w:rPr>
        <w:rFonts w:ascii="Arial" w:hAnsi="Arial" w:cs="Arial"/>
        <w:sz w:val="20"/>
      </w:rPr>
    </w:pPr>
    <w:r w:rsidRPr="004D7CEB">
      <w:rPr>
        <w:rFonts w:ascii="Arial" w:hAnsi="Arial" w:cs="Arial"/>
        <w:sz w:val="20"/>
      </w:rPr>
      <w:t>Framework Ref: RM</w:t>
    </w:r>
    <w:r>
      <w:rPr>
        <w:rFonts w:ascii="Arial" w:hAnsi="Arial" w:cs="Arial"/>
        <w:sz w:val="20"/>
      </w:rPr>
      <w:t>6221</w:t>
    </w:r>
  </w:p>
  <w:p w14:paraId="51674730" w14:textId="77777777" w:rsidR="00D148DE" w:rsidRPr="004D7CEB" w:rsidRDefault="00D148DE" w:rsidP="00C973D8">
    <w:pPr>
      <w:pStyle w:val="Footer"/>
      <w:rPr>
        <w:rFonts w:ascii="Arial" w:hAnsi="Arial" w:cs="Arial"/>
        <w:sz w:val="20"/>
      </w:rPr>
    </w:pPr>
    <w:r w:rsidRPr="004D7CEB">
      <w:rPr>
        <w:rFonts w:ascii="Arial" w:hAnsi="Arial" w:cs="Arial"/>
        <w:sz w:val="20"/>
      </w:rPr>
      <w:t>Project Version: v1.0</w:t>
    </w:r>
    <w:r w:rsidRPr="004D7CEB">
      <w:rPr>
        <w:rFonts w:ascii="Arial" w:hAnsi="Arial" w:cs="Arial"/>
        <w:sz w:val="20"/>
      </w:rPr>
      <w:tab/>
    </w:r>
    <w:r w:rsidRPr="004D7CEB">
      <w:rPr>
        <w:rFonts w:ascii="Arial" w:hAnsi="Arial" w:cs="Arial"/>
        <w:sz w:val="20"/>
      </w:rPr>
      <w:tab/>
    </w:r>
    <w:r w:rsidRPr="004D7CEB">
      <w:rPr>
        <w:rFonts w:ascii="Arial" w:hAnsi="Arial" w:cs="Arial"/>
        <w:sz w:val="20"/>
      </w:rPr>
      <w:tab/>
      <w:t xml:space="preserve"> 1</w:t>
    </w:r>
  </w:p>
  <w:p w14:paraId="0222EC89" w14:textId="77777777" w:rsidR="00D148DE" w:rsidRPr="000D51B6" w:rsidRDefault="00D148DE" w:rsidP="00004857">
    <w:pPr>
      <w:pStyle w:val="Footer"/>
      <w:rPr>
        <w:color w:val="A6A6A6"/>
      </w:rPr>
    </w:pPr>
    <w:r w:rsidRPr="004D7CEB">
      <w:rPr>
        <w:rFonts w:ascii="Arial" w:hAnsi="Arial" w:cs="Arial"/>
        <w:sz w:val="20"/>
      </w:rPr>
      <w:t>Model Version: v</w:t>
    </w:r>
    <w:r>
      <w:rPr>
        <w:rFonts w:ascii="Arial" w:hAnsi="Arial" w:cs="Arial"/>
        <w:sz w:val="20"/>
      </w:rPr>
      <w:t>3.1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6B3E" w14:textId="77777777" w:rsidR="00D148DE" w:rsidRPr="006A7C06" w:rsidRDefault="00D148DE" w:rsidP="00D148DE">
    <w:pPr>
      <w:tabs>
        <w:tab w:val="center" w:pos="4513"/>
        <w:tab w:val="right" w:pos="9026"/>
      </w:tabs>
      <w:spacing w:after="0"/>
      <w:rPr>
        <w:rFonts w:ascii="Arial" w:hAnsi="Arial"/>
        <w:sz w:val="20"/>
      </w:rPr>
    </w:pPr>
    <w:r w:rsidRPr="006A7C06">
      <w:rPr>
        <w:rFonts w:ascii="Arial" w:hAnsi="Arial"/>
        <w:sz w:val="20"/>
      </w:rPr>
      <w:t>Framework Ref: RM</w:t>
    </w:r>
    <w:r>
      <w:rPr>
        <w:rFonts w:ascii="Arial" w:hAnsi="Arial"/>
        <w:sz w:val="20"/>
      </w:rPr>
      <w:t>6221</w:t>
    </w:r>
    <w:r w:rsidRPr="006A7C06">
      <w:rPr>
        <w:rFonts w:ascii="Arial" w:hAnsi="Arial"/>
        <w:sz w:val="20"/>
      </w:rPr>
      <w:tab/>
      <w:t xml:space="preserve">                                           </w:t>
    </w:r>
  </w:p>
  <w:p w14:paraId="620BF69F" w14:textId="7DB6B4B7" w:rsidR="00D148DE" w:rsidRPr="006A7C06" w:rsidRDefault="00D148DE" w:rsidP="00D148DE">
    <w:pPr>
      <w:pStyle w:val="Footer"/>
      <w:rPr>
        <w:rFonts w:ascii="Arial" w:hAnsi="Arial"/>
        <w:sz w:val="20"/>
      </w:rPr>
    </w:pPr>
    <w:r w:rsidRPr="006A7C06">
      <w:rPr>
        <w:rFonts w:ascii="Arial" w:hAnsi="Arial"/>
        <w:sz w:val="20"/>
      </w:rPr>
      <w:t>Project Version: v1.0</w:t>
    </w:r>
    <w:r w:rsidRPr="006A7C06">
      <w:rPr>
        <w:rFonts w:ascii="Arial" w:hAnsi="Arial"/>
        <w:sz w:val="20"/>
      </w:rPr>
      <w:tab/>
    </w:r>
    <w:r w:rsidRPr="006A7C06">
      <w:rPr>
        <w:rFonts w:ascii="Arial" w:hAnsi="Arial"/>
        <w:sz w:val="20"/>
      </w:rPr>
      <w:tab/>
      <w:t xml:space="preserve"> </w:t>
    </w:r>
    <w:r w:rsidRPr="006A7C06">
      <w:rPr>
        <w:rFonts w:ascii="Arial" w:hAnsi="Arial"/>
        <w:sz w:val="20"/>
      </w:rPr>
      <w:fldChar w:fldCharType="begin"/>
    </w:r>
    <w:r w:rsidRPr="006A7C06">
      <w:rPr>
        <w:rFonts w:ascii="Arial" w:hAnsi="Arial"/>
        <w:sz w:val="20"/>
      </w:rPr>
      <w:instrText xml:space="preserve"> PAGE   \* MERGEFORMAT </w:instrText>
    </w:r>
    <w:r w:rsidRPr="006A7C06">
      <w:rPr>
        <w:rFonts w:ascii="Arial" w:hAnsi="Arial"/>
        <w:sz w:val="20"/>
      </w:rPr>
      <w:fldChar w:fldCharType="separate"/>
    </w:r>
    <w:r w:rsidR="00F90541">
      <w:rPr>
        <w:rFonts w:ascii="Arial" w:hAnsi="Arial"/>
        <w:noProof/>
        <w:sz w:val="20"/>
      </w:rPr>
      <w:t>15</w:t>
    </w:r>
    <w:r w:rsidRPr="006A7C06">
      <w:rPr>
        <w:rFonts w:ascii="Arial" w:hAnsi="Arial"/>
        <w:noProof/>
        <w:sz w:val="20"/>
      </w:rPr>
      <w:fldChar w:fldCharType="end"/>
    </w:r>
  </w:p>
  <w:p w14:paraId="00012E72" w14:textId="77777777" w:rsidR="00D148DE" w:rsidRPr="0013583C" w:rsidRDefault="00D148DE" w:rsidP="00D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olor w:val="BFBFBF" w:themeColor="background1" w:themeShade="BF"/>
        <w:sz w:val="20"/>
      </w:rPr>
    </w:pPr>
    <w:r>
      <w:rPr>
        <w:rFonts w:ascii="Arial" w:hAnsi="Arial"/>
        <w:sz w:val="20"/>
      </w:rPr>
      <w:t>Model Version: v1.0</w:t>
    </w:r>
    <w:r w:rsidRPr="006A7C06">
      <w:rPr>
        <w:rFonts w:ascii="Arial" w:hAnsi="Arial"/>
        <w:sz w:val="20"/>
      </w:rPr>
      <w:tab/>
    </w:r>
    <w:r w:rsidRPr="006A7C06">
      <w:rPr>
        <w:rFonts w:ascii="Arial" w:hAnsi="Arial"/>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776D" w14:textId="77777777" w:rsidR="002C0F58" w:rsidRDefault="002C0F58">
      <w:pPr>
        <w:spacing w:after="0" w:line="240" w:lineRule="auto"/>
      </w:pPr>
      <w:r>
        <w:separator/>
      </w:r>
    </w:p>
  </w:footnote>
  <w:footnote w:type="continuationSeparator" w:id="0">
    <w:p w14:paraId="6AFD151D" w14:textId="77777777" w:rsidR="002C0F58" w:rsidRDefault="002C0F58">
      <w:pPr>
        <w:spacing w:after="0" w:line="240" w:lineRule="auto"/>
      </w:pPr>
      <w:r>
        <w:continuationSeparator/>
      </w:r>
    </w:p>
  </w:footnote>
  <w:footnote w:type="continuationNotice" w:id="1">
    <w:p w14:paraId="07945B39" w14:textId="77777777" w:rsidR="002C0F58" w:rsidRDefault="002C0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9607" w14:textId="77777777" w:rsidR="0024722D" w:rsidRDefault="0024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5853" w14:textId="64717562" w:rsidR="00D148DE" w:rsidRDefault="05764715">
    <w:pPr>
      <w:tabs>
        <w:tab w:val="center" w:pos="4513"/>
        <w:tab w:val="right" w:pos="9026"/>
      </w:tabs>
      <w:spacing w:after="0" w:line="240" w:lineRule="auto"/>
      <w:rPr>
        <w:rFonts w:ascii="Calibri" w:hAnsi="Calibri" w:cs="Arial"/>
        <w:szCs w:val="22"/>
      </w:rPr>
    </w:pPr>
    <w:r w:rsidRPr="18640E6A">
      <w:rPr>
        <w:rFonts w:ascii="Calibri" w:hAnsi="Calibri" w:cs="Arial"/>
        <w:b/>
        <w:bCs/>
      </w:rPr>
      <w:t>Call-Off Schedule 5</w:t>
    </w:r>
    <w:r>
      <w:rPr>
        <w:rFonts w:ascii="Calibri" w:hAnsi="Calibri" w:cs="Arial"/>
        <w:b/>
        <w:bCs/>
      </w:rPr>
      <w:t>A</w:t>
    </w:r>
    <w:r w:rsidRPr="18640E6A">
      <w:rPr>
        <w:rFonts w:ascii="Calibri" w:hAnsi="Calibri" w:cs="Arial"/>
        <w:b/>
        <w:bCs/>
      </w:rPr>
      <w:t xml:space="preserve"> (</w:t>
    </w:r>
    <w:r w:rsidRPr="0045378E">
      <w:rPr>
        <w:rFonts w:ascii="Calibri" w:hAnsi="Calibri" w:cs="Arial"/>
        <w:b/>
        <w:bCs/>
      </w:rPr>
      <w:t>Pricing Details and Expenses Policy</w:t>
    </w:r>
    <w:r w:rsidRPr="18640E6A">
      <w:rPr>
        <w:rFonts w:ascii="Calibri" w:hAnsi="Calibri" w:cs="Arial"/>
        <w:b/>
        <w:bCs/>
      </w:rPr>
      <w:t>)</w:t>
    </w:r>
    <w:r w:rsidR="00D148DE">
      <w:rPr>
        <w:noProof/>
        <w:lang w:eastAsia="en-GB"/>
      </w:rPr>
      <w:drawing>
        <wp:anchor distT="0" distB="0" distL="114300" distR="114300" simplePos="0" relativeHeight="251658240" behindDoc="0" locked="0" layoutInCell="1" allowOverlap="1" wp14:anchorId="5C510636" wp14:editId="2B68248E">
          <wp:simplePos x="0" y="0"/>
          <wp:positionH relativeFrom="column">
            <wp:posOffset>5562600</wp:posOffset>
          </wp:positionH>
          <wp:positionV relativeFrom="paragraph">
            <wp:posOffset>-165735</wp:posOffset>
          </wp:positionV>
          <wp:extent cx="848995" cy="685800"/>
          <wp:effectExtent l="0" t="0" r="8255" b="0"/>
          <wp:wrapNone/>
          <wp:docPr id="15" name="Picture 15" descr="Crown Commerci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Commercial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A2A3D" w14:textId="77777777" w:rsidR="00D148DE" w:rsidRDefault="00D148DE">
    <w:pPr>
      <w:tabs>
        <w:tab w:val="center" w:pos="4513"/>
        <w:tab w:val="right" w:pos="9026"/>
      </w:tabs>
      <w:spacing w:after="0" w:line="240" w:lineRule="auto"/>
      <w:rPr>
        <w:rFonts w:ascii="Calibri" w:hAnsi="Calibri" w:cs="Arial"/>
        <w:szCs w:val="22"/>
      </w:rPr>
    </w:pPr>
    <w:r>
      <w:rPr>
        <w:rFonts w:ascii="Calibri" w:hAnsi="Calibri" w:cs="Arial"/>
        <w:szCs w:val="22"/>
      </w:rPr>
      <w:t>Crown Copyright 2017</w:t>
    </w:r>
  </w:p>
  <w:p w14:paraId="5D1347F1" w14:textId="77777777" w:rsidR="00D148DE" w:rsidRDefault="00D1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D89F" w14:textId="6679DAC2" w:rsidR="00D148DE" w:rsidRPr="004D7CEB" w:rsidRDefault="00D148DE">
    <w:pPr>
      <w:tabs>
        <w:tab w:val="center" w:pos="4513"/>
        <w:tab w:val="right" w:pos="9026"/>
      </w:tabs>
      <w:spacing w:after="0" w:line="240" w:lineRule="auto"/>
      <w:rPr>
        <w:rFonts w:ascii="Arial" w:hAnsi="Arial" w:cs="Arial"/>
        <w:sz w:val="20"/>
      </w:rPr>
    </w:pPr>
    <w:r w:rsidRPr="004D7CEB">
      <w:rPr>
        <w:rFonts w:ascii="Arial" w:hAnsi="Arial" w:cs="Arial"/>
        <w:b/>
        <w:sz w:val="20"/>
      </w:rPr>
      <w:t>Call-Off Schedule 5</w:t>
    </w:r>
    <w:r w:rsidR="008853B0">
      <w:rPr>
        <w:rFonts w:ascii="Arial" w:hAnsi="Arial" w:cs="Arial"/>
        <w:b/>
        <w:sz w:val="20"/>
      </w:rPr>
      <w:t>A</w:t>
    </w:r>
    <w:r w:rsidRPr="004D7CEB">
      <w:rPr>
        <w:rFonts w:ascii="Arial" w:hAnsi="Arial" w:cs="Arial"/>
        <w:b/>
        <w:sz w:val="20"/>
      </w:rPr>
      <w:t xml:space="preserve"> (</w:t>
    </w:r>
    <w:r w:rsidR="00AA3116">
      <w:rPr>
        <w:rFonts w:ascii="Arial" w:hAnsi="Arial" w:cs="Arial"/>
        <w:b/>
        <w:sz w:val="20"/>
      </w:rPr>
      <w:t xml:space="preserve">Health </w:t>
    </w:r>
    <w:r w:rsidRPr="004D7CEB">
      <w:rPr>
        <w:rFonts w:ascii="Arial" w:hAnsi="Arial" w:cs="Arial"/>
        <w:b/>
        <w:sz w:val="20"/>
      </w:rPr>
      <w:t>Pricing Details</w:t>
    </w:r>
    <w:r w:rsidR="008853B0">
      <w:rPr>
        <w:rFonts w:ascii="Arial" w:hAnsi="Arial" w:cs="Arial"/>
        <w:b/>
        <w:sz w:val="20"/>
      </w:rPr>
      <w:t xml:space="preserve"> and Expenses Policy</w:t>
    </w:r>
    <w:r w:rsidRPr="004D7CEB">
      <w:rPr>
        <w:rFonts w:ascii="Arial" w:hAnsi="Arial" w:cs="Arial"/>
        <w:b/>
        <w:sz w:val="20"/>
      </w:rPr>
      <w:t>)</w:t>
    </w:r>
  </w:p>
  <w:p w14:paraId="01C20742" w14:textId="77777777" w:rsidR="00D148DE" w:rsidRPr="004D7CEB" w:rsidRDefault="00D148DE">
    <w:pPr>
      <w:tabs>
        <w:tab w:val="center" w:pos="4513"/>
        <w:tab w:val="right" w:pos="9026"/>
      </w:tabs>
      <w:spacing w:after="0" w:line="240" w:lineRule="auto"/>
      <w:rPr>
        <w:rFonts w:ascii="Arial" w:hAnsi="Arial" w:cs="Arial"/>
        <w:sz w:val="20"/>
      </w:rPr>
    </w:pPr>
    <w:r w:rsidRPr="004D7CEB">
      <w:rPr>
        <w:rFonts w:ascii="Arial" w:hAnsi="Arial" w:cs="Arial"/>
        <w:sz w:val="20"/>
      </w:rPr>
      <w:t>Call-Off Ref:</w:t>
    </w:r>
  </w:p>
  <w:p w14:paraId="0B9D2AFF" w14:textId="77777777" w:rsidR="00D148DE" w:rsidRPr="004D7CEB" w:rsidRDefault="00D148DE">
    <w:pPr>
      <w:tabs>
        <w:tab w:val="center" w:pos="4513"/>
        <w:tab w:val="right" w:pos="9026"/>
      </w:tabs>
      <w:spacing w:after="0" w:line="240" w:lineRule="auto"/>
      <w:rPr>
        <w:rFonts w:ascii="Arial" w:hAnsi="Arial" w:cs="Arial"/>
        <w:sz w:val="20"/>
      </w:rPr>
    </w:pPr>
    <w:r w:rsidRPr="004D7CEB">
      <w:rPr>
        <w:rFonts w:ascii="Arial" w:hAnsi="Arial" w:cs="Arial"/>
        <w:sz w:val="20"/>
      </w:rPr>
      <w:t>Crown Copyright 2018</w:t>
    </w:r>
  </w:p>
  <w:p w14:paraId="27873F13" w14:textId="77777777" w:rsidR="00D148DE" w:rsidRPr="004D7CEB" w:rsidRDefault="00D14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9B78" w14:textId="2E7F7EAD" w:rsidR="00D148DE" w:rsidRDefault="00D148DE" w:rsidP="00D148DE">
    <w:pPr>
      <w:tabs>
        <w:tab w:val="center" w:pos="4513"/>
        <w:tab w:val="right" w:pos="9026"/>
      </w:tabs>
      <w:spacing w:after="0" w:line="240" w:lineRule="auto"/>
      <w:rPr>
        <w:rFonts w:ascii="Arial" w:hAnsi="Arial"/>
        <w:sz w:val="20"/>
      </w:rPr>
    </w:pPr>
    <w:bookmarkStart w:id="9" w:name="_Hlk38544886"/>
    <w:r w:rsidRPr="004D7CEB">
      <w:rPr>
        <w:rFonts w:ascii="Arial" w:hAnsi="Arial" w:cs="Arial"/>
        <w:b/>
        <w:sz w:val="20"/>
      </w:rPr>
      <w:t>Call-Off Schedule 5</w:t>
    </w:r>
    <w:r>
      <w:rPr>
        <w:rFonts w:ascii="Arial" w:hAnsi="Arial" w:cs="Arial"/>
        <w:b/>
        <w:sz w:val="20"/>
      </w:rPr>
      <w:t>A</w:t>
    </w:r>
    <w:r w:rsidRPr="004D7CEB">
      <w:rPr>
        <w:rFonts w:ascii="Arial" w:hAnsi="Arial" w:cs="Arial"/>
        <w:b/>
        <w:sz w:val="20"/>
      </w:rPr>
      <w:t xml:space="preserve"> (Pricing Details</w:t>
    </w:r>
    <w:r>
      <w:rPr>
        <w:rFonts w:ascii="Arial" w:hAnsi="Arial" w:cs="Arial"/>
        <w:b/>
        <w:sz w:val="20"/>
      </w:rPr>
      <w:t xml:space="preserve"> and Expenses Policy</w:t>
    </w:r>
    <w:r w:rsidRPr="004D7CEB">
      <w:rPr>
        <w:rFonts w:ascii="Arial" w:hAnsi="Arial" w:cs="Arial"/>
        <w:b/>
        <w:sz w:val="20"/>
      </w:rPr>
      <w:t>)</w:t>
    </w:r>
    <w:r w:rsidR="00EF4C00">
      <w:rPr>
        <w:rFonts w:ascii="Arial" w:hAnsi="Arial" w:cs="Arial"/>
        <w:b/>
        <w:sz w:val="20"/>
      </w:rPr>
      <w:t xml:space="preserve"> </w:t>
    </w:r>
    <w:r w:rsidRPr="004D7CEB">
      <w:rPr>
        <w:rFonts w:ascii="Arial" w:hAnsi="Arial"/>
        <w:sz w:val="20"/>
      </w:rPr>
      <w:t>Call-Off Ref:</w:t>
    </w:r>
    <w:r>
      <w:rPr>
        <w:rFonts w:ascii="Arial" w:hAnsi="Arial"/>
        <w:sz w:val="20"/>
      </w:rPr>
      <w:t xml:space="preserve"> </w:t>
    </w:r>
  </w:p>
  <w:p w14:paraId="093A7881" w14:textId="37B17FEF" w:rsidR="00D148DE" w:rsidRDefault="00D148DE" w:rsidP="00D148DE">
    <w:pPr>
      <w:tabs>
        <w:tab w:val="center" w:pos="4513"/>
        <w:tab w:val="right" w:pos="9026"/>
      </w:tabs>
      <w:spacing w:after="0" w:line="240" w:lineRule="auto"/>
      <w:rPr>
        <w:rFonts w:ascii="Arial" w:hAnsi="Arial"/>
        <w:sz w:val="20"/>
      </w:rPr>
    </w:pPr>
    <w:r w:rsidRPr="004D7CEB">
      <w:rPr>
        <w:rFonts w:ascii="Arial" w:hAnsi="Arial"/>
        <w:sz w:val="20"/>
      </w:rPr>
      <w:t>Crown Copyright 2018</w:t>
    </w:r>
    <w:bookmarkEnd w:id="9"/>
  </w:p>
  <w:p w14:paraId="2F85CC17" w14:textId="77777777" w:rsidR="00D148DE" w:rsidRPr="00B103A2" w:rsidRDefault="00D148DE" w:rsidP="00D148DE">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2E0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82C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82F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4E6D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E8E4AB4"/>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E2521F7C"/>
    <w:name w:val="Plato Schedule Numbering List"/>
    <w:lvl w:ilvl="0">
      <w:start w:val="1"/>
      <w:numFmt w:val="decimal"/>
      <w:pStyle w:val="ScheduleL1"/>
      <w:lvlText w:val="%1."/>
      <w:lvlJc w:val="left"/>
      <w:pPr>
        <w:tabs>
          <w:tab w:val="num" w:pos="502"/>
        </w:tabs>
        <w:ind w:left="502" w:hanging="360"/>
      </w:pPr>
      <w:rPr>
        <w:rFonts w:hint="default"/>
        <w:caps w:val="0"/>
        <w:effect w:val="none"/>
      </w:rPr>
    </w:lvl>
    <w:lvl w:ilvl="1">
      <w:start w:val="1"/>
      <w:numFmt w:val="decimal"/>
      <w:pStyle w:val="ScheduleL2"/>
      <w:lvlText w:val="%1.%2"/>
      <w:lvlJc w:val="left"/>
      <w:pPr>
        <w:tabs>
          <w:tab w:val="num" w:pos="1006"/>
        </w:tabs>
        <w:ind w:left="1006" w:hanging="504"/>
      </w:pPr>
      <w:rPr>
        <w:rFonts w:hint="default"/>
        <w:b w:val="0"/>
        <w:caps w:val="0"/>
        <w:effect w:val="none"/>
      </w:rPr>
    </w:lvl>
    <w:lvl w:ilvl="2">
      <w:start w:val="1"/>
      <w:numFmt w:val="decimal"/>
      <w:pStyle w:val="ScheduleL3"/>
      <w:lvlText w:val="%1.%2.%3"/>
      <w:lvlJc w:val="left"/>
      <w:pPr>
        <w:tabs>
          <w:tab w:val="num" w:pos="2068"/>
        </w:tabs>
        <w:ind w:left="2068" w:hanging="936"/>
      </w:pPr>
      <w:rPr>
        <w:rFonts w:hint="default"/>
        <w:b w:val="0"/>
        <w:caps w:val="0"/>
        <w:effect w:val="none"/>
      </w:rPr>
    </w:lvl>
    <w:lvl w:ilvl="3">
      <w:start w:val="1"/>
      <w:numFmt w:val="decimal"/>
      <w:pStyle w:val="ScheduleL4"/>
      <w:lvlText w:val="%1.%2.%3.%4"/>
      <w:lvlJc w:val="left"/>
      <w:pPr>
        <w:tabs>
          <w:tab w:val="num" w:pos="3022"/>
        </w:tabs>
        <w:ind w:left="3022" w:hanging="1080"/>
      </w:pPr>
      <w:rPr>
        <w:rFonts w:hint="default"/>
        <w:caps w:val="0"/>
        <w:effect w:val="none"/>
      </w:rPr>
    </w:lvl>
    <w:lvl w:ilvl="4">
      <w:start w:val="1"/>
      <w:numFmt w:val="upperLetter"/>
      <w:pStyle w:val="ScheduleL5"/>
      <w:lvlText w:val="(%5)"/>
      <w:lvlJc w:val="left"/>
      <w:pPr>
        <w:tabs>
          <w:tab w:val="num" w:pos="3742"/>
        </w:tabs>
        <w:ind w:left="3742" w:hanging="720"/>
      </w:pPr>
      <w:rPr>
        <w:rFonts w:hint="default"/>
        <w:caps w:val="0"/>
        <w:effect w:val="none"/>
      </w:rPr>
    </w:lvl>
    <w:lvl w:ilvl="5">
      <w:start w:val="1"/>
      <w:numFmt w:val="lowerRoman"/>
      <w:pStyle w:val="ScheduleL6"/>
      <w:lvlText w:val="(%6)"/>
      <w:lvlJc w:val="left"/>
      <w:pPr>
        <w:tabs>
          <w:tab w:val="num" w:pos="4462"/>
        </w:tabs>
        <w:ind w:left="4462" w:hanging="720"/>
      </w:pPr>
      <w:rPr>
        <w:rFonts w:hint="default"/>
        <w:caps w:val="0"/>
        <w:effect w:val="none"/>
      </w:rPr>
    </w:lvl>
    <w:lvl w:ilvl="6">
      <w:start w:val="1"/>
      <w:numFmt w:val="decimal"/>
      <w:pStyle w:val="ScheduleL7"/>
      <w:lvlText w:val="(%7)"/>
      <w:lvlJc w:val="left"/>
      <w:pPr>
        <w:tabs>
          <w:tab w:val="num" w:pos="5182"/>
        </w:tabs>
        <w:ind w:left="5182" w:hanging="720"/>
      </w:pPr>
      <w:rPr>
        <w:rFonts w:hint="default"/>
        <w:caps w:val="0"/>
        <w:effect w:val="none"/>
      </w:rPr>
    </w:lvl>
    <w:lvl w:ilvl="7">
      <w:start w:val="1"/>
      <w:numFmt w:val="none"/>
      <w:pStyle w:val="ScheduleL8"/>
      <w:lvlText w:val=""/>
      <w:lvlJc w:val="left"/>
      <w:pPr>
        <w:tabs>
          <w:tab w:val="num" w:pos="5182"/>
        </w:tabs>
        <w:ind w:left="5182" w:hanging="720"/>
      </w:pPr>
      <w:rPr>
        <w:rFonts w:hint="default"/>
        <w:caps w:val="0"/>
        <w:effect w:val="none"/>
      </w:rPr>
    </w:lvl>
    <w:lvl w:ilvl="8">
      <w:start w:val="1"/>
      <w:numFmt w:val="none"/>
      <w:pStyle w:val="ScheduleL9"/>
      <w:lvlText w:val=""/>
      <w:lvlJc w:val="left"/>
      <w:pPr>
        <w:tabs>
          <w:tab w:val="num" w:pos="5182"/>
        </w:tabs>
        <w:ind w:left="5182" w:hanging="720"/>
      </w:pPr>
      <w:rPr>
        <w:rFonts w:hint="default"/>
        <w:caps w:val="0"/>
        <w:effect w:val="none"/>
      </w:rPr>
    </w:lvl>
  </w:abstractNum>
  <w:abstractNum w:abstractNumId="6" w15:restartNumberingAfterBreak="0">
    <w:nsid w:val="00712F2F"/>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1B40692"/>
    <w:multiLevelType w:val="multilevel"/>
    <w:tmpl w:val="EC44993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440"/>
        </w:tabs>
        <w:ind w:left="1440" w:hanging="79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21633C5"/>
    <w:multiLevelType w:val="multilevel"/>
    <w:tmpl w:val="D9DC69F4"/>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24E1381"/>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257639E"/>
    <w:multiLevelType w:val="multilevel"/>
    <w:tmpl w:val="C4F47BB8"/>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1"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5D74C13"/>
    <w:multiLevelType w:val="multilevel"/>
    <w:tmpl w:val="4B6033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BF30B7"/>
    <w:multiLevelType w:val="hybridMultilevel"/>
    <w:tmpl w:val="16E4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1441FC3"/>
    <w:multiLevelType w:val="multilevel"/>
    <w:tmpl w:val="FF7CE2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2C53B8F"/>
    <w:multiLevelType w:val="multilevel"/>
    <w:tmpl w:val="DD0C90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864"/>
        </w:tabs>
        <w:ind w:left="864" w:hanging="504"/>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19" w15:restartNumberingAfterBreak="0">
    <w:nsid w:val="20DC5340"/>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1D34A06"/>
    <w:multiLevelType w:val="hybridMultilevel"/>
    <w:tmpl w:val="7D8CC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26DB4AE5"/>
    <w:multiLevelType w:val="hybridMultilevel"/>
    <w:tmpl w:val="EDAC913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7D26F7C"/>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CD812AF"/>
    <w:multiLevelType w:val="hybridMultilevel"/>
    <w:tmpl w:val="1FB245EA"/>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25" w15:restartNumberingAfterBreak="0">
    <w:nsid w:val="2D2B14E0"/>
    <w:multiLevelType w:val="multilevel"/>
    <w:tmpl w:val="B50E8EB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7" w15:restartNumberingAfterBreak="0">
    <w:nsid w:val="30F96F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E7240"/>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9" w15:restartNumberingAfterBreak="0">
    <w:nsid w:val="331D0E24"/>
    <w:multiLevelType w:val="multilevel"/>
    <w:tmpl w:val="E1FC2C2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1" w15:restartNumberingAfterBreak="0">
    <w:nsid w:val="422E3127"/>
    <w:multiLevelType w:val="multilevel"/>
    <w:tmpl w:val="2FE61B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288"/>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4833120A"/>
    <w:multiLevelType w:val="multilevel"/>
    <w:tmpl w:val="90AEEAF8"/>
    <w:lvl w:ilvl="0">
      <w:start w:val="1"/>
      <w:numFmt w:val="decimal"/>
      <w:pStyle w:val="GPSL2GuidanceNumbered"/>
      <w:lvlText w:val="%1."/>
      <w:lvlJc w:val="left"/>
      <w:pPr>
        <w:ind w:left="360" w:hanging="360"/>
      </w:pPr>
      <w:rPr>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99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shd w:val="clear" w:color="auto" w:fill="auto"/>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49021F1E"/>
    <w:multiLevelType w:val="multilevel"/>
    <w:tmpl w:val="85D0E082"/>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4" w15:restartNumberingAfterBreak="0">
    <w:nsid w:val="508839D4"/>
    <w:multiLevelType w:val="multilevel"/>
    <w:tmpl w:val="0F8E0BAA"/>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490CE8"/>
    <w:multiLevelType w:val="multilevel"/>
    <w:tmpl w:val="C61A6F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15:restartNumberingAfterBreak="0">
    <w:nsid w:val="52B11F83"/>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41C7FD2"/>
    <w:multiLevelType w:val="multilevel"/>
    <w:tmpl w:val="02AE15AE"/>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38"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813CB4"/>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59670672"/>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41"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C9D4E7C"/>
    <w:multiLevelType w:val="multilevel"/>
    <w:tmpl w:val="D3BC5DF2"/>
    <w:lvl w:ilvl="0">
      <w:start w:val="1"/>
      <w:numFmt w:val="decimal"/>
      <w:lvlRestart w:val="0"/>
      <w:lvlText w:val="%1."/>
      <w:lvlJc w:val="left"/>
      <w:pPr>
        <w:tabs>
          <w:tab w:val="num" w:pos="720"/>
        </w:tabs>
        <w:ind w:left="360" w:hanging="36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5EEB37EA"/>
    <w:multiLevelType w:val="multilevel"/>
    <w:tmpl w:val="0B66B6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60382068"/>
    <w:multiLevelType w:val="multilevel"/>
    <w:tmpl w:val="964A18C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440"/>
        </w:tabs>
        <w:ind w:left="1440" w:hanging="720"/>
      </w:pPr>
      <w:rPr>
        <w:rFonts w:hint="default"/>
        <w:caps w:val="0"/>
        <w:effect w:val="none"/>
      </w:rPr>
    </w:lvl>
    <w:lvl w:ilvl="3">
      <w:start w:val="1"/>
      <w:numFmt w:val="lowerLetter"/>
      <w:lvlText w:val="(%4)"/>
      <w:lvlJc w:val="left"/>
      <w:pPr>
        <w:tabs>
          <w:tab w:val="num" w:pos="2160"/>
        </w:tabs>
        <w:ind w:left="2160" w:hanging="720"/>
      </w:pPr>
      <w:rPr>
        <w:rFonts w:ascii="Arial" w:hAnsi="Arial" w:cs="Arial" w:hint="default"/>
        <w:caps w:val="0"/>
        <w:sz w:val="24"/>
        <w:szCs w:val="24"/>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45"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6" w15:restartNumberingAfterBreak="0">
    <w:nsid w:val="60600E1E"/>
    <w:multiLevelType w:val="multilevel"/>
    <w:tmpl w:val="D96C7BC0"/>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7" w15:restartNumberingAfterBreak="0">
    <w:nsid w:val="63475E3A"/>
    <w:multiLevelType w:val="multilevel"/>
    <w:tmpl w:val="5EF40BC8"/>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2419"/>
        </w:tabs>
        <w:ind w:left="2419"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49" w15:restartNumberingAfterBreak="0">
    <w:nsid w:val="649202C2"/>
    <w:multiLevelType w:val="multilevel"/>
    <w:tmpl w:val="7708F086"/>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0" w15:restartNumberingAfterBreak="0">
    <w:nsid w:val="69900A29"/>
    <w:multiLevelType w:val="multilevel"/>
    <w:tmpl w:val="F56AA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712"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2E34545"/>
    <w:multiLevelType w:val="multilevel"/>
    <w:tmpl w:val="CAFEF5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2" w15:restartNumberingAfterBreak="0">
    <w:nsid w:val="74C57C02"/>
    <w:multiLevelType w:val="multilevel"/>
    <w:tmpl w:val="9B04766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3" w15:restartNumberingAfterBreak="0">
    <w:nsid w:val="74DB52A8"/>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4" w15:restartNumberingAfterBreak="0">
    <w:nsid w:val="756F77AA"/>
    <w:multiLevelType w:val="multilevel"/>
    <w:tmpl w:val="85D0E08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5" w15:restartNumberingAfterBreak="0">
    <w:nsid w:val="772936E4"/>
    <w:multiLevelType w:val="multilevel"/>
    <w:tmpl w:val="0D943FEE"/>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800" w:hanging="864"/>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7BFC4681"/>
    <w:multiLevelType w:val="multilevel"/>
    <w:tmpl w:val="17509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CEC4EFD"/>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8" w15:restartNumberingAfterBreak="0">
    <w:nsid w:val="7CFC29EB"/>
    <w:multiLevelType w:val="multilevel"/>
    <w:tmpl w:val="EE5E10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800"/>
        </w:tabs>
        <w:ind w:left="1800" w:hanging="108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33"/>
  </w:num>
  <w:num w:numId="3">
    <w:abstractNumId w:val="26"/>
  </w:num>
  <w:num w:numId="4">
    <w:abstractNumId w:val="18"/>
  </w:num>
  <w:num w:numId="5">
    <w:abstractNumId w:val="41"/>
  </w:num>
  <w:num w:numId="6">
    <w:abstractNumId w:val="45"/>
  </w:num>
  <w:num w:numId="7">
    <w:abstractNumId w:val="30"/>
  </w:num>
  <w:num w:numId="8">
    <w:abstractNumId w:val="12"/>
  </w:num>
  <w:num w:numId="9">
    <w:abstractNumId w:val="4"/>
  </w:num>
  <w:num w:numId="10">
    <w:abstractNumId w:val="3"/>
  </w:num>
  <w:num w:numId="11">
    <w:abstractNumId w:val="2"/>
  </w:num>
  <w:num w:numId="12">
    <w:abstractNumId w:val="1"/>
  </w:num>
  <w:num w:numId="13">
    <w:abstractNumId w:val="0"/>
  </w:num>
  <w:num w:numId="14">
    <w:abstractNumId w:val="5"/>
  </w:num>
  <w:num w:numId="15">
    <w:abstractNumId w:val="5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40"/>
  </w:num>
  <w:num w:numId="23">
    <w:abstractNumId w:val="9"/>
  </w:num>
  <w:num w:numId="24">
    <w:abstractNumId w:val="6"/>
  </w:num>
  <w:num w:numId="25">
    <w:abstractNumId w:val="39"/>
  </w:num>
  <w:num w:numId="26">
    <w:abstractNumId w:val="54"/>
  </w:num>
  <w:num w:numId="27">
    <w:abstractNumId w:val="19"/>
  </w:num>
  <w:num w:numId="28">
    <w:abstractNumId w:val="36"/>
  </w:num>
  <w:num w:numId="29">
    <w:abstractNumId w:val="42"/>
  </w:num>
  <w:num w:numId="30">
    <w:abstractNumId w:val="52"/>
  </w:num>
  <w:num w:numId="31">
    <w:abstractNumId w:val="4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5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5"/>
  </w:num>
  <w:num w:numId="40">
    <w:abstractNumId w:val="5"/>
  </w:num>
  <w:num w:numId="41">
    <w:abstractNumId w:val="35"/>
  </w:num>
  <w:num w:numId="42">
    <w:abstractNumId w:val="2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47"/>
  </w:num>
  <w:num w:numId="51">
    <w:abstractNumId w:val="7"/>
  </w:num>
  <w:num w:numId="52">
    <w:abstractNumId w:val="10"/>
  </w:num>
  <w:num w:numId="53">
    <w:abstractNumId w:val="18"/>
  </w:num>
  <w:num w:numId="54">
    <w:abstractNumId w:val="5"/>
  </w:num>
  <w:num w:numId="55">
    <w:abstractNumId w:val="5"/>
  </w:num>
  <w:num w:numId="56">
    <w:abstractNumId w:val="29"/>
  </w:num>
  <w:num w:numId="57">
    <w:abstractNumId w:val="51"/>
  </w:num>
  <w:num w:numId="58">
    <w:abstractNumId w:val="49"/>
  </w:num>
  <w:num w:numId="59">
    <w:abstractNumId w:val="31"/>
  </w:num>
  <w:num w:numId="60">
    <w:abstractNumId w:val="23"/>
  </w:num>
  <w:num w:numId="61">
    <w:abstractNumId w:val="57"/>
  </w:num>
  <w:num w:numId="62">
    <w:abstractNumId w:val="43"/>
  </w:num>
  <w:num w:numId="63">
    <w:abstractNumId w:val="5"/>
  </w:num>
  <w:num w:numId="64">
    <w:abstractNumId w:val="16"/>
  </w:num>
  <w:num w:numId="65">
    <w:abstractNumId w:val="8"/>
  </w:num>
  <w:num w:numId="66">
    <w:abstractNumId w:val="13"/>
  </w:num>
  <w:num w:numId="67">
    <w:abstractNumId w:val="17"/>
  </w:num>
  <w:num w:numId="68">
    <w:abstractNumId w:val="5"/>
  </w:num>
  <w:num w:numId="69">
    <w:abstractNumId w:val="48"/>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11"/>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8"/>
  </w:num>
  <w:num w:numId="87">
    <w:abstractNumId w:val="56"/>
  </w:num>
  <w:num w:numId="88">
    <w:abstractNumId w:val="20"/>
  </w:num>
  <w:num w:numId="89">
    <w:abstractNumId w:val="50"/>
  </w:num>
  <w:num w:numId="90">
    <w:abstractNumId w:val="24"/>
  </w:num>
  <w:num w:numId="91">
    <w:abstractNumId w:val="34"/>
  </w:num>
  <w:num w:numId="92">
    <w:abstractNumId w:val="44"/>
  </w:num>
  <w:num w:numId="93">
    <w:abstractNumId w:val="37"/>
  </w:num>
  <w:num w:numId="94">
    <w:abstractNumId w:val="32"/>
  </w:num>
  <w:num w:numId="95">
    <w:abstractNumId w:val="22"/>
  </w:num>
  <w:num w:numId="96">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C"/>
    <w:rsid w:val="000005D1"/>
    <w:rsid w:val="00000E55"/>
    <w:rsid w:val="00001C16"/>
    <w:rsid w:val="00004465"/>
    <w:rsid w:val="00004857"/>
    <w:rsid w:val="0000516C"/>
    <w:rsid w:val="00011006"/>
    <w:rsid w:val="00012D18"/>
    <w:rsid w:val="000204F8"/>
    <w:rsid w:val="00031719"/>
    <w:rsid w:val="00032C16"/>
    <w:rsid w:val="00041269"/>
    <w:rsid w:val="000472CC"/>
    <w:rsid w:val="00050472"/>
    <w:rsid w:val="0005360A"/>
    <w:rsid w:val="00053AC3"/>
    <w:rsid w:val="00060DAF"/>
    <w:rsid w:val="0006396A"/>
    <w:rsid w:val="00063A80"/>
    <w:rsid w:val="000708A8"/>
    <w:rsid w:val="00072C43"/>
    <w:rsid w:val="00083D5D"/>
    <w:rsid w:val="00084364"/>
    <w:rsid w:val="000912DB"/>
    <w:rsid w:val="000943D1"/>
    <w:rsid w:val="00097E55"/>
    <w:rsid w:val="000C2208"/>
    <w:rsid w:val="000C57C3"/>
    <w:rsid w:val="000C6EC2"/>
    <w:rsid w:val="000D0FDF"/>
    <w:rsid w:val="000D3876"/>
    <w:rsid w:val="000D51B6"/>
    <w:rsid w:val="000D6310"/>
    <w:rsid w:val="000D6B3B"/>
    <w:rsid w:val="000E02E2"/>
    <w:rsid w:val="000E1A01"/>
    <w:rsid w:val="000F42F9"/>
    <w:rsid w:val="000F45CD"/>
    <w:rsid w:val="000F59D4"/>
    <w:rsid w:val="000F5E95"/>
    <w:rsid w:val="00100FF4"/>
    <w:rsid w:val="0010375A"/>
    <w:rsid w:val="00103B61"/>
    <w:rsid w:val="00105455"/>
    <w:rsid w:val="00105B7C"/>
    <w:rsid w:val="001068C7"/>
    <w:rsid w:val="00107365"/>
    <w:rsid w:val="00123CA3"/>
    <w:rsid w:val="00133837"/>
    <w:rsid w:val="001359FE"/>
    <w:rsid w:val="001409D6"/>
    <w:rsid w:val="00145343"/>
    <w:rsid w:val="00145C29"/>
    <w:rsid w:val="00146C36"/>
    <w:rsid w:val="00147D4C"/>
    <w:rsid w:val="001523C3"/>
    <w:rsid w:val="00156972"/>
    <w:rsid w:val="00157C62"/>
    <w:rsid w:val="00163736"/>
    <w:rsid w:val="00165D8C"/>
    <w:rsid w:val="001766A6"/>
    <w:rsid w:val="00176CBA"/>
    <w:rsid w:val="001802AC"/>
    <w:rsid w:val="00180F9D"/>
    <w:rsid w:val="00194310"/>
    <w:rsid w:val="0019793E"/>
    <w:rsid w:val="001B25F1"/>
    <w:rsid w:val="001B3BEA"/>
    <w:rsid w:val="001C15EF"/>
    <w:rsid w:val="001D7B8F"/>
    <w:rsid w:val="001E1F72"/>
    <w:rsid w:val="001E2C98"/>
    <w:rsid w:val="001E49F0"/>
    <w:rsid w:val="001F1059"/>
    <w:rsid w:val="001F3F03"/>
    <w:rsid w:val="001F5C09"/>
    <w:rsid w:val="0020102F"/>
    <w:rsid w:val="00201187"/>
    <w:rsid w:val="00201FFE"/>
    <w:rsid w:val="002042B0"/>
    <w:rsid w:val="00221D88"/>
    <w:rsid w:val="002278A8"/>
    <w:rsid w:val="002315D5"/>
    <w:rsid w:val="00234403"/>
    <w:rsid w:val="00236C05"/>
    <w:rsid w:val="0023722A"/>
    <w:rsid w:val="00241F81"/>
    <w:rsid w:val="00243E1F"/>
    <w:rsid w:val="002463C3"/>
    <w:rsid w:val="0024722D"/>
    <w:rsid w:val="00255C17"/>
    <w:rsid w:val="0025704A"/>
    <w:rsid w:val="00257419"/>
    <w:rsid w:val="0027218B"/>
    <w:rsid w:val="0028268C"/>
    <w:rsid w:val="002848D8"/>
    <w:rsid w:val="002862B4"/>
    <w:rsid w:val="00290284"/>
    <w:rsid w:val="0029435D"/>
    <w:rsid w:val="002B6BAB"/>
    <w:rsid w:val="002C0F58"/>
    <w:rsid w:val="002C1799"/>
    <w:rsid w:val="002C3A7F"/>
    <w:rsid w:val="002D0838"/>
    <w:rsid w:val="002D1F7B"/>
    <w:rsid w:val="002D72D4"/>
    <w:rsid w:val="002E156F"/>
    <w:rsid w:val="002E2BCB"/>
    <w:rsid w:val="002E3BE8"/>
    <w:rsid w:val="002E7666"/>
    <w:rsid w:val="002E7A42"/>
    <w:rsid w:val="002F1F78"/>
    <w:rsid w:val="002F6070"/>
    <w:rsid w:val="00300EA6"/>
    <w:rsid w:val="003034A4"/>
    <w:rsid w:val="00310576"/>
    <w:rsid w:val="00327D07"/>
    <w:rsid w:val="003334E0"/>
    <w:rsid w:val="00336110"/>
    <w:rsid w:val="00339198"/>
    <w:rsid w:val="0034737B"/>
    <w:rsid w:val="003510B1"/>
    <w:rsid w:val="00351E11"/>
    <w:rsid w:val="00352377"/>
    <w:rsid w:val="00353438"/>
    <w:rsid w:val="003537AB"/>
    <w:rsid w:val="00355227"/>
    <w:rsid w:val="00360B7C"/>
    <w:rsid w:val="00361390"/>
    <w:rsid w:val="0036173A"/>
    <w:rsid w:val="003670C0"/>
    <w:rsid w:val="00371DBF"/>
    <w:rsid w:val="00371F6E"/>
    <w:rsid w:val="0037226D"/>
    <w:rsid w:val="0038487E"/>
    <w:rsid w:val="0038774E"/>
    <w:rsid w:val="003921AF"/>
    <w:rsid w:val="00396D19"/>
    <w:rsid w:val="003A4DD4"/>
    <w:rsid w:val="003A5495"/>
    <w:rsid w:val="003C26DA"/>
    <w:rsid w:val="003C47CF"/>
    <w:rsid w:val="003C4F3E"/>
    <w:rsid w:val="003C6D27"/>
    <w:rsid w:val="003D5333"/>
    <w:rsid w:val="003E0D6F"/>
    <w:rsid w:val="003E7748"/>
    <w:rsid w:val="003F1466"/>
    <w:rsid w:val="003F4796"/>
    <w:rsid w:val="003F5ADA"/>
    <w:rsid w:val="003F6C1F"/>
    <w:rsid w:val="003F7F55"/>
    <w:rsid w:val="00400A3C"/>
    <w:rsid w:val="004018A7"/>
    <w:rsid w:val="00403DC2"/>
    <w:rsid w:val="004057D4"/>
    <w:rsid w:val="0040762E"/>
    <w:rsid w:val="00410462"/>
    <w:rsid w:val="00410961"/>
    <w:rsid w:val="00416A70"/>
    <w:rsid w:val="00422F32"/>
    <w:rsid w:val="00424947"/>
    <w:rsid w:val="00424C78"/>
    <w:rsid w:val="00427A17"/>
    <w:rsid w:val="00430C7C"/>
    <w:rsid w:val="00431DAF"/>
    <w:rsid w:val="004358C8"/>
    <w:rsid w:val="0044067F"/>
    <w:rsid w:val="00441673"/>
    <w:rsid w:val="004431FD"/>
    <w:rsid w:val="00443D3D"/>
    <w:rsid w:val="004456CA"/>
    <w:rsid w:val="00452375"/>
    <w:rsid w:val="004526E8"/>
    <w:rsid w:val="0045378E"/>
    <w:rsid w:val="00453D7F"/>
    <w:rsid w:val="00457B7C"/>
    <w:rsid w:val="004643E8"/>
    <w:rsid w:val="00467023"/>
    <w:rsid w:val="004739F5"/>
    <w:rsid w:val="00480B17"/>
    <w:rsid w:val="00482A1E"/>
    <w:rsid w:val="0048505B"/>
    <w:rsid w:val="00487E45"/>
    <w:rsid w:val="00492359"/>
    <w:rsid w:val="00493A93"/>
    <w:rsid w:val="004A1B01"/>
    <w:rsid w:val="004A7418"/>
    <w:rsid w:val="004B3624"/>
    <w:rsid w:val="004B636A"/>
    <w:rsid w:val="004C0874"/>
    <w:rsid w:val="004C2214"/>
    <w:rsid w:val="004D0A0F"/>
    <w:rsid w:val="004D2957"/>
    <w:rsid w:val="004D7CEB"/>
    <w:rsid w:val="004E61C0"/>
    <w:rsid w:val="004F4841"/>
    <w:rsid w:val="004F4EFE"/>
    <w:rsid w:val="00501C63"/>
    <w:rsid w:val="005021E5"/>
    <w:rsid w:val="00503EEF"/>
    <w:rsid w:val="005046BC"/>
    <w:rsid w:val="005051BB"/>
    <w:rsid w:val="005061C4"/>
    <w:rsid w:val="005116E6"/>
    <w:rsid w:val="00515085"/>
    <w:rsid w:val="00515748"/>
    <w:rsid w:val="00520A8E"/>
    <w:rsid w:val="00523AE5"/>
    <w:rsid w:val="005342DC"/>
    <w:rsid w:val="00541B41"/>
    <w:rsid w:val="00554981"/>
    <w:rsid w:val="00562D87"/>
    <w:rsid w:val="00567B3C"/>
    <w:rsid w:val="00572297"/>
    <w:rsid w:val="0057373B"/>
    <w:rsid w:val="0057635C"/>
    <w:rsid w:val="00576F20"/>
    <w:rsid w:val="00582D6C"/>
    <w:rsid w:val="00584501"/>
    <w:rsid w:val="005846BB"/>
    <w:rsid w:val="005948F9"/>
    <w:rsid w:val="005960EE"/>
    <w:rsid w:val="005A0E68"/>
    <w:rsid w:val="005A108A"/>
    <w:rsid w:val="005B338A"/>
    <w:rsid w:val="005B649C"/>
    <w:rsid w:val="005C2E77"/>
    <w:rsid w:val="005C4759"/>
    <w:rsid w:val="005C5265"/>
    <w:rsid w:val="005C6697"/>
    <w:rsid w:val="005D31AA"/>
    <w:rsid w:val="005E38C9"/>
    <w:rsid w:val="005E6218"/>
    <w:rsid w:val="005F1041"/>
    <w:rsid w:val="005F106C"/>
    <w:rsid w:val="005F3E23"/>
    <w:rsid w:val="005F7239"/>
    <w:rsid w:val="006002EE"/>
    <w:rsid w:val="00601A60"/>
    <w:rsid w:val="00604D6B"/>
    <w:rsid w:val="00605304"/>
    <w:rsid w:val="00605F03"/>
    <w:rsid w:val="00612663"/>
    <w:rsid w:val="00624DF5"/>
    <w:rsid w:val="0062519E"/>
    <w:rsid w:val="00626CDC"/>
    <w:rsid w:val="0063047A"/>
    <w:rsid w:val="006312FC"/>
    <w:rsid w:val="006402B9"/>
    <w:rsid w:val="006507BC"/>
    <w:rsid w:val="00650AB4"/>
    <w:rsid w:val="006524F9"/>
    <w:rsid w:val="00653FCE"/>
    <w:rsid w:val="00665E91"/>
    <w:rsid w:val="00666628"/>
    <w:rsid w:val="00666DD9"/>
    <w:rsid w:val="00671E19"/>
    <w:rsid w:val="006748B5"/>
    <w:rsid w:val="0067622D"/>
    <w:rsid w:val="00680D80"/>
    <w:rsid w:val="00684BC5"/>
    <w:rsid w:val="00686E1F"/>
    <w:rsid w:val="00694467"/>
    <w:rsid w:val="00695DE2"/>
    <w:rsid w:val="006A5DB0"/>
    <w:rsid w:val="006B1CDA"/>
    <w:rsid w:val="006B3615"/>
    <w:rsid w:val="006B5DA1"/>
    <w:rsid w:val="006B75F4"/>
    <w:rsid w:val="006C02CA"/>
    <w:rsid w:val="006C14B4"/>
    <w:rsid w:val="006C28F7"/>
    <w:rsid w:val="006D0C66"/>
    <w:rsid w:val="006D3756"/>
    <w:rsid w:val="006D3A4D"/>
    <w:rsid w:val="006D7576"/>
    <w:rsid w:val="006E38FF"/>
    <w:rsid w:val="006E4AF1"/>
    <w:rsid w:val="006E6A2E"/>
    <w:rsid w:val="006E6DBC"/>
    <w:rsid w:val="006E7353"/>
    <w:rsid w:val="006F3977"/>
    <w:rsid w:val="006F63C7"/>
    <w:rsid w:val="006F70B8"/>
    <w:rsid w:val="0070247E"/>
    <w:rsid w:val="007027A9"/>
    <w:rsid w:val="007049FE"/>
    <w:rsid w:val="00704D26"/>
    <w:rsid w:val="007051B2"/>
    <w:rsid w:val="00707AE3"/>
    <w:rsid w:val="007101CA"/>
    <w:rsid w:val="00711B4E"/>
    <w:rsid w:val="0072055A"/>
    <w:rsid w:val="0072056E"/>
    <w:rsid w:val="007217A4"/>
    <w:rsid w:val="007269A2"/>
    <w:rsid w:val="00733FA3"/>
    <w:rsid w:val="00734113"/>
    <w:rsid w:val="007347F6"/>
    <w:rsid w:val="00742F16"/>
    <w:rsid w:val="007446F7"/>
    <w:rsid w:val="00744D0F"/>
    <w:rsid w:val="00754407"/>
    <w:rsid w:val="0075485F"/>
    <w:rsid w:val="0075620B"/>
    <w:rsid w:val="00756BA0"/>
    <w:rsid w:val="00763889"/>
    <w:rsid w:val="00777F8F"/>
    <w:rsid w:val="00785E83"/>
    <w:rsid w:val="00791610"/>
    <w:rsid w:val="00792BF7"/>
    <w:rsid w:val="00794D46"/>
    <w:rsid w:val="007A30DE"/>
    <w:rsid w:val="007B0049"/>
    <w:rsid w:val="007B07A2"/>
    <w:rsid w:val="007B09B2"/>
    <w:rsid w:val="007B0BFE"/>
    <w:rsid w:val="007B51E5"/>
    <w:rsid w:val="007B58A7"/>
    <w:rsid w:val="007B7CCF"/>
    <w:rsid w:val="007B7E60"/>
    <w:rsid w:val="007C0968"/>
    <w:rsid w:val="007C344D"/>
    <w:rsid w:val="007D696E"/>
    <w:rsid w:val="007E4789"/>
    <w:rsid w:val="007E5957"/>
    <w:rsid w:val="007F15D0"/>
    <w:rsid w:val="007F1A34"/>
    <w:rsid w:val="007F45DC"/>
    <w:rsid w:val="007F531D"/>
    <w:rsid w:val="007F6009"/>
    <w:rsid w:val="00800452"/>
    <w:rsid w:val="0080375D"/>
    <w:rsid w:val="008048A2"/>
    <w:rsid w:val="008055FB"/>
    <w:rsid w:val="00811289"/>
    <w:rsid w:val="00811CFD"/>
    <w:rsid w:val="00811F07"/>
    <w:rsid w:val="008126E5"/>
    <w:rsid w:val="00813891"/>
    <w:rsid w:val="0081564A"/>
    <w:rsid w:val="008159E7"/>
    <w:rsid w:val="008252F2"/>
    <w:rsid w:val="00834CED"/>
    <w:rsid w:val="00836FB9"/>
    <w:rsid w:val="00840245"/>
    <w:rsid w:val="00840BCA"/>
    <w:rsid w:val="0084540A"/>
    <w:rsid w:val="0084622A"/>
    <w:rsid w:val="00846A30"/>
    <w:rsid w:val="008631C3"/>
    <w:rsid w:val="00864876"/>
    <w:rsid w:val="00866351"/>
    <w:rsid w:val="0087100F"/>
    <w:rsid w:val="00871BEF"/>
    <w:rsid w:val="00874415"/>
    <w:rsid w:val="00874C69"/>
    <w:rsid w:val="00877781"/>
    <w:rsid w:val="008853B0"/>
    <w:rsid w:val="008934A7"/>
    <w:rsid w:val="0089599C"/>
    <w:rsid w:val="008A1357"/>
    <w:rsid w:val="008A28DD"/>
    <w:rsid w:val="008A7A2D"/>
    <w:rsid w:val="008B0A14"/>
    <w:rsid w:val="008B24E1"/>
    <w:rsid w:val="008B2BC4"/>
    <w:rsid w:val="008B5A26"/>
    <w:rsid w:val="008C0A63"/>
    <w:rsid w:val="008C1776"/>
    <w:rsid w:val="008C4191"/>
    <w:rsid w:val="008C4435"/>
    <w:rsid w:val="008C4565"/>
    <w:rsid w:val="008C7A31"/>
    <w:rsid w:val="008D13F4"/>
    <w:rsid w:val="008D656D"/>
    <w:rsid w:val="008E10E5"/>
    <w:rsid w:val="008E33D0"/>
    <w:rsid w:val="008E3B61"/>
    <w:rsid w:val="008E6133"/>
    <w:rsid w:val="008E6B11"/>
    <w:rsid w:val="008F0B18"/>
    <w:rsid w:val="008F25A5"/>
    <w:rsid w:val="008F43D3"/>
    <w:rsid w:val="00903C62"/>
    <w:rsid w:val="0091027F"/>
    <w:rsid w:val="00916229"/>
    <w:rsid w:val="00921934"/>
    <w:rsid w:val="00922551"/>
    <w:rsid w:val="009258C2"/>
    <w:rsid w:val="00925C41"/>
    <w:rsid w:val="00935659"/>
    <w:rsid w:val="009459B7"/>
    <w:rsid w:val="00951A4F"/>
    <w:rsid w:val="00951E5A"/>
    <w:rsid w:val="00953498"/>
    <w:rsid w:val="009536FA"/>
    <w:rsid w:val="009542E6"/>
    <w:rsid w:val="00957816"/>
    <w:rsid w:val="00960A1F"/>
    <w:rsid w:val="00962018"/>
    <w:rsid w:val="00966FBB"/>
    <w:rsid w:val="00971564"/>
    <w:rsid w:val="00971F8C"/>
    <w:rsid w:val="009765D1"/>
    <w:rsid w:val="00977751"/>
    <w:rsid w:val="00980010"/>
    <w:rsid w:val="009803B7"/>
    <w:rsid w:val="00982981"/>
    <w:rsid w:val="00982ADA"/>
    <w:rsid w:val="00982ADE"/>
    <w:rsid w:val="00983193"/>
    <w:rsid w:val="0099568D"/>
    <w:rsid w:val="009965F4"/>
    <w:rsid w:val="00997E67"/>
    <w:rsid w:val="009A13B3"/>
    <w:rsid w:val="009A3CDA"/>
    <w:rsid w:val="009A580D"/>
    <w:rsid w:val="009A5986"/>
    <w:rsid w:val="009B0AA8"/>
    <w:rsid w:val="009B5CDB"/>
    <w:rsid w:val="009B68A1"/>
    <w:rsid w:val="009C0221"/>
    <w:rsid w:val="009D7DAE"/>
    <w:rsid w:val="009E1A79"/>
    <w:rsid w:val="009E2AC3"/>
    <w:rsid w:val="009F46F5"/>
    <w:rsid w:val="009F77C4"/>
    <w:rsid w:val="00A004BD"/>
    <w:rsid w:val="00A012FF"/>
    <w:rsid w:val="00A108F7"/>
    <w:rsid w:val="00A11DE5"/>
    <w:rsid w:val="00A14CD0"/>
    <w:rsid w:val="00A21658"/>
    <w:rsid w:val="00A32418"/>
    <w:rsid w:val="00A33F1B"/>
    <w:rsid w:val="00A34E0A"/>
    <w:rsid w:val="00A41690"/>
    <w:rsid w:val="00A4343A"/>
    <w:rsid w:val="00A454C4"/>
    <w:rsid w:val="00A459C7"/>
    <w:rsid w:val="00A5062A"/>
    <w:rsid w:val="00A57B99"/>
    <w:rsid w:val="00A6103A"/>
    <w:rsid w:val="00A721B9"/>
    <w:rsid w:val="00A72621"/>
    <w:rsid w:val="00A775A9"/>
    <w:rsid w:val="00A8028E"/>
    <w:rsid w:val="00A82F04"/>
    <w:rsid w:val="00A8496C"/>
    <w:rsid w:val="00A85B89"/>
    <w:rsid w:val="00A90ED1"/>
    <w:rsid w:val="00A92386"/>
    <w:rsid w:val="00A92B04"/>
    <w:rsid w:val="00A9356C"/>
    <w:rsid w:val="00A93FA3"/>
    <w:rsid w:val="00A946C3"/>
    <w:rsid w:val="00A94758"/>
    <w:rsid w:val="00A94AA5"/>
    <w:rsid w:val="00A95668"/>
    <w:rsid w:val="00A95677"/>
    <w:rsid w:val="00A95CDE"/>
    <w:rsid w:val="00A963BD"/>
    <w:rsid w:val="00AA0915"/>
    <w:rsid w:val="00AA3116"/>
    <w:rsid w:val="00AB0311"/>
    <w:rsid w:val="00AB080D"/>
    <w:rsid w:val="00AB181E"/>
    <w:rsid w:val="00AB7ED4"/>
    <w:rsid w:val="00AC0587"/>
    <w:rsid w:val="00AC5F73"/>
    <w:rsid w:val="00AD0279"/>
    <w:rsid w:val="00AE0F4E"/>
    <w:rsid w:val="00AE3B56"/>
    <w:rsid w:val="00B035A4"/>
    <w:rsid w:val="00B05F93"/>
    <w:rsid w:val="00B11BCD"/>
    <w:rsid w:val="00B14764"/>
    <w:rsid w:val="00B20A7B"/>
    <w:rsid w:val="00B237F8"/>
    <w:rsid w:val="00B257E4"/>
    <w:rsid w:val="00B2781F"/>
    <w:rsid w:val="00B366E8"/>
    <w:rsid w:val="00B40B14"/>
    <w:rsid w:val="00B44406"/>
    <w:rsid w:val="00B444EB"/>
    <w:rsid w:val="00B52399"/>
    <w:rsid w:val="00B62D53"/>
    <w:rsid w:val="00B653E8"/>
    <w:rsid w:val="00B66C41"/>
    <w:rsid w:val="00B75170"/>
    <w:rsid w:val="00B859CB"/>
    <w:rsid w:val="00B879F5"/>
    <w:rsid w:val="00B95AE5"/>
    <w:rsid w:val="00B97FD7"/>
    <w:rsid w:val="00BA0140"/>
    <w:rsid w:val="00BA5D50"/>
    <w:rsid w:val="00BA7BB6"/>
    <w:rsid w:val="00BB27EE"/>
    <w:rsid w:val="00BC57BF"/>
    <w:rsid w:val="00BC6334"/>
    <w:rsid w:val="00BC6A39"/>
    <w:rsid w:val="00BD0526"/>
    <w:rsid w:val="00BD5F9B"/>
    <w:rsid w:val="00BE4F67"/>
    <w:rsid w:val="00BE5289"/>
    <w:rsid w:val="00BE61C1"/>
    <w:rsid w:val="00BF1CA9"/>
    <w:rsid w:val="00BF5581"/>
    <w:rsid w:val="00BF7405"/>
    <w:rsid w:val="00C14DF1"/>
    <w:rsid w:val="00C1684D"/>
    <w:rsid w:val="00C16A1D"/>
    <w:rsid w:val="00C262C8"/>
    <w:rsid w:val="00C3342F"/>
    <w:rsid w:val="00C3533C"/>
    <w:rsid w:val="00C356C5"/>
    <w:rsid w:val="00C419AE"/>
    <w:rsid w:val="00C43E74"/>
    <w:rsid w:val="00C46245"/>
    <w:rsid w:val="00C65052"/>
    <w:rsid w:val="00C65259"/>
    <w:rsid w:val="00C65977"/>
    <w:rsid w:val="00C7704C"/>
    <w:rsid w:val="00C8467E"/>
    <w:rsid w:val="00C84F44"/>
    <w:rsid w:val="00C91CD0"/>
    <w:rsid w:val="00C96C35"/>
    <w:rsid w:val="00C973D8"/>
    <w:rsid w:val="00C979D0"/>
    <w:rsid w:val="00CA067D"/>
    <w:rsid w:val="00CA0BCE"/>
    <w:rsid w:val="00CA2971"/>
    <w:rsid w:val="00CB17F3"/>
    <w:rsid w:val="00CC0D06"/>
    <w:rsid w:val="00CC1DDD"/>
    <w:rsid w:val="00CC36EB"/>
    <w:rsid w:val="00CC387D"/>
    <w:rsid w:val="00CC3FE0"/>
    <w:rsid w:val="00CC4C87"/>
    <w:rsid w:val="00CC4D45"/>
    <w:rsid w:val="00CD02AD"/>
    <w:rsid w:val="00CD0F52"/>
    <w:rsid w:val="00CD428E"/>
    <w:rsid w:val="00CE5144"/>
    <w:rsid w:val="00CE528C"/>
    <w:rsid w:val="00CE5B4C"/>
    <w:rsid w:val="00CE5D8F"/>
    <w:rsid w:val="00CE632A"/>
    <w:rsid w:val="00CF1C92"/>
    <w:rsid w:val="00CF3A64"/>
    <w:rsid w:val="00CF48DA"/>
    <w:rsid w:val="00D04140"/>
    <w:rsid w:val="00D04A38"/>
    <w:rsid w:val="00D104B7"/>
    <w:rsid w:val="00D11154"/>
    <w:rsid w:val="00D148DE"/>
    <w:rsid w:val="00D17D4A"/>
    <w:rsid w:val="00D21BC5"/>
    <w:rsid w:val="00D253AC"/>
    <w:rsid w:val="00D34C78"/>
    <w:rsid w:val="00D3694C"/>
    <w:rsid w:val="00D369D8"/>
    <w:rsid w:val="00D3733D"/>
    <w:rsid w:val="00D43864"/>
    <w:rsid w:val="00D47471"/>
    <w:rsid w:val="00D50356"/>
    <w:rsid w:val="00D52D65"/>
    <w:rsid w:val="00D54780"/>
    <w:rsid w:val="00D60FA9"/>
    <w:rsid w:val="00D63400"/>
    <w:rsid w:val="00D64E60"/>
    <w:rsid w:val="00D70C82"/>
    <w:rsid w:val="00D723BB"/>
    <w:rsid w:val="00D7255F"/>
    <w:rsid w:val="00D74440"/>
    <w:rsid w:val="00D76218"/>
    <w:rsid w:val="00D76461"/>
    <w:rsid w:val="00D81B2B"/>
    <w:rsid w:val="00D8286A"/>
    <w:rsid w:val="00D84E3A"/>
    <w:rsid w:val="00D9192E"/>
    <w:rsid w:val="00D9279B"/>
    <w:rsid w:val="00DA5222"/>
    <w:rsid w:val="00DB3DE6"/>
    <w:rsid w:val="00DB5C66"/>
    <w:rsid w:val="00DC4B5E"/>
    <w:rsid w:val="00DC4C1C"/>
    <w:rsid w:val="00DC798C"/>
    <w:rsid w:val="00DD4690"/>
    <w:rsid w:val="00DD6D24"/>
    <w:rsid w:val="00DE0170"/>
    <w:rsid w:val="00DE2899"/>
    <w:rsid w:val="00DE337C"/>
    <w:rsid w:val="00DE4126"/>
    <w:rsid w:val="00DE5AB0"/>
    <w:rsid w:val="00DF5B14"/>
    <w:rsid w:val="00E12F7B"/>
    <w:rsid w:val="00E15A98"/>
    <w:rsid w:val="00E209C4"/>
    <w:rsid w:val="00E2724F"/>
    <w:rsid w:val="00E32188"/>
    <w:rsid w:val="00E346E2"/>
    <w:rsid w:val="00E3506B"/>
    <w:rsid w:val="00E358DC"/>
    <w:rsid w:val="00E404E5"/>
    <w:rsid w:val="00E41756"/>
    <w:rsid w:val="00E47B29"/>
    <w:rsid w:val="00E55D30"/>
    <w:rsid w:val="00E57B45"/>
    <w:rsid w:val="00E64273"/>
    <w:rsid w:val="00E71176"/>
    <w:rsid w:val="00E8102F"/>
    <w:rsid w:val="00E8326C"/>
    <w:rsid w:val="00E866FB"/>
    <w:rsid w:val="00E942DC"/>
    <w:rsid w:val="00E97F28"/>
    <w:rsid w:val="00EA0A43"/>
    <w:rsid w:val="00EA0F08"/>
    <w:rsid w:val="00EA3645"/>
    <w:rsid w:val="00EB044C"/>
    <w:rsid w:val="00EB1632"/>
    <w:rsid w:val="00EB4F97"/>
    <w:rsid w:val="00EB622E"/>
    <w:rsid w:val="00EB6509"/>
    <w:rsid w:val="00EB6E4A"/>
    <w:rsid w:val="00EC02F9"/>
    <w:rsid w:val="00EC4F82"/>
    <w:rsid w:val="00ED5CAD"/>
    <w:rsid w:val="00EE1A8B"/>
    <w:rsid w:val="00EE1CB1"/>
    <w:rsid w:val="00EE5695"/>
    <w:rsid w:val="00EE7295"/>
    <w:rsid w:val="00EF0970"/>
    <w:rsid w:val="00EF4C00"/>
    <w:rsid w:val="00EF6303"/>
    <w:rsid w:val="00EF6891"/>
    <w:rsid w:val="00F03410"/>
    <w:rsid w:val="00F177E8"/>
    <w:rsid w:val="00F203DA"/>
    <w:rsid w:val="00F23997"/>
    <w:rsid w:val="00F279C0"/>
    <w:rsid w:val="00F30418"/>
    <w:rsid w:val="00F3180C"/>
    <w:rsid w:val="00F3209B"/>
    <w:rsid w:val="00F343C6"/>
    <w:rsid w:val="00F405D1"/>
    <w:rsid w:val="00F407C9"/>
    <w:rsid w:val="00F40A7B"/>
    <w:rsid w:val="00F40DAD"/>
    <w:rsid w:val="00F433A4"/>
    <w:rsid w:val="00F44BAD"/>
    <w:rsid w:val="00F603B2"/>
    <w:rsid w:val="00F60454"/>
    <w:rsid w:val="00F6319C"/>
    <w:rsid w:val="00F63756"/>
    <w:rsid w:val="00F64175"/>
    <w:rsid w:val="00F64AD7"/>
    <w:rsid w:val="00F6550F"/>
    <w:rsid w:val="00F70506"/>
    <w:rsid w:val="00F71F5C"/>
    <w:rsid w:val="00F74337"/>
    <w:rsid w:val="00F838A2"/>
    <w:rsid w:val="00F8737A"/>
    <w:rsid w:val="00F8775F"/>
    <w:rsid w:val="00F90541"/>
    <w:rsid w:val="00F90816"/>
    <w:rsid w:val="00F91178"/>
    <w:rsid w:val="00F93846"/>
    <w:rsid w:val="00F93C09"/>
    <w:rsid w:val="00F94299"/>
    <w:rsid w:val="00F951FB"/>
    <w:rsid w:val="00F9526E"/>
    <w:rsid w:val="00FA078C"/>
    <w:rsid w:val="00FA2383"/>
    <w:rsid w:val="00FA2578"/>
    <w:rsid w:val="00FB16A3"/>
    <w:rsid w:val="00FB37F6"/>
    <w:rsid w:val="00FB4D57"/>
    <w:rsid w:val="00FB58CF"/>
    <w:rsid w:val="00FC07A4"/>
    <w:rsid w:val="00FC53F1"/>
    <w:rsid w:val="00FC7BE1"/>
    <w:rsid w:val="00FD1F83"/>
    <w:rsid w:val="00FE00C5"/>
    <w:rsid w:val="00FE2195"/>
    <w:rsid w:val="00FE3B1A"/>
    <w:rsid w:val="00FE6C53"/>
    <w:rsid w:val="00FF533D"/>
    <w:rsid w:val="00FF5835"/>
    <w:rsid w:val="05764715"/>
    <w:rsid w:val="08D021D6"/>
    <w:rsid w:val="0B897992"/>
    <w:rsid w:val="0D3E6FB6"/>
    <w:rsid w:val="10FE9365"/>
    <w:rsid w:val="11EB40C4"/>
    <w:rsid w:val="15E512BD"/>
    <w:rsid w:val="18640E6A"/>
    <w:rsid w:val="1CD2910C"/>
    <w:rsid w:val="22CB3378"/>
    <w:rsid w:val="23890FCA"/>
    <w:rsid w:val="2C9A6A9D"/>
    <w:rsid w:val="333CF168"/>
    <w:rsid w:val="3409DF1F"/>
    <w:rsid w:val="34931037"/>
    <w:rsid w:val="3783F90B"/>
    <w:rsid w:val="3BD0145D"/>
    <w:rsid w:val="447CA4B0"/>
    <w:rsid w:val="48F79257"/>
    <w:rsid w:val="4A423457"/>
    <w:rsid w:val="4F9639AE"/>
    <w:rsid w:val="5252254A"/>
    <w:rsid w:val="54209B2D"/>
    <w:rsid w:val="5508786E"/>
    <w:rsid w:val="5888AA77"/>
    <w:rsid w:val="5EF0F4BC"/>
    <w:rsid w:val="61B66252"/>
    <w:rsid w:val="653E1C8F"/>
    <w:rsid w:val="65544630"/>
    <w:rsid w:val="6D03BF47"/>
    <w:rsid w:val="6F1648ED"/>
    <w:rsid w:val="7319EB56"/>
    <w:rsid w:val="7B96C959"/>
    <w:rsid w:val="7EAA0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CDC14D"/>
  <w15:docId w15:val="{36F00353-64D8-4F5A-BCB8-294339B6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B7"/>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37"/>
      </w:numPr>
    </w:pPr>
    <w:rPr>
      <w:rFonts w:ascii="Calibri" w:hAnsi="Calibri"/>
    </w:rPr>
  </w:style>
  <w:style w:type="paragraph" w:styleId="BodyTextIndent2">
    <w:name w:val="Body Text Indent 2"/>
    <w:basedOn w:val="HouseStyleBase"/>
    <w:link w:val="BodyTextIndent2Char"/>
    <w:qFormat/>
    <w:pPr>
      <w:numPr>
        <w:ilvl w:val="1"/>
        <w:numId w:val="37"/>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keepNext/>
      <w:numPr>
        <w:numId w:val="14"/>
      </w:numPr>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6"/>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qFormat/>
    <w:pPr>
      <w:numPr>
        <w:ilvl w:val="2"/>
        <w:numId w:val="37"/>
      </w:numPr>
      <w:spacing w:after="120"/>
      <w:outlineLvl w:val="0"/>
    </w:pPr>
    <w:rPr>
      <w:rFonts w:ascii="Calibri" w:hAnsi="Calibri"/>
    </w:rPr>
  </w:style>
  <w:style w:type="paragraph" w:customStyle="1" w:styleId="DefinitionNumbering2">
    <w:name w:val="Definition Numbering 2"/>
    <w:basedOn w:val="HouseStyleBase"/>
    <w:qFormat/>
    <w:pPr>
      <w:numPr>
        <w:ilvl w:val="3"/>
        <w:numId w:val="37"/>
      </w:numPr>
      <w:outlineLvl w:val="1"/>
    </w:pPr>
  </w:style>
  <w:style w:type="paragraph" w:customStyle="1" w:styleId="DefinitionNumbering3">
    <w:name w:val="Definition Numbering 3"/>
    <w:basedOn w:val="HouseStyleBase"/>
    <w:qFormat/>
    <w:pPr>
      <w:numPr>
        <w:ilvl w:val="4"/>
        <w:numId w:val="37"/>
      </w:numPr>
      <w:outlineLvl w:val="2"/>
    </w:pPr>
  </w:style>
  <w:style w:type="paragraph" w:customStyle="1" w:styleId="DefinitionNumbering4">
    <w:name w:val="Definition Numbering 4"/>
    <w:basedOn w:val="HouseStyleBase"/>
    <w:pPr>
      <w:numPr>
        <w:ilvl w:val="5"/>
        <w:numId w:val="37"/>
      </w:numPr>
      <w:outlineLvl w:val="3"/>
    </w:pPr>
  </w:style>
  <w:style w:type="paragraph" w:customStyle="1" w:styleId="DefinitionNumbering5">
    <w:name w:val="Definition Numbering 5"/>
    <w:basedOn w:val="HouseStyleBase"/>
    <w:pPr>
      <w:numPr>
        <w:ilvl w:val="6"/>
        <w:numId w:val="37"/>
      </w:numPr>
      <w:outlineLvl w:val="4"/>
    </w:pPr>
  </w:style>
  <w:style w:type="paragraph" w:customStyle="1" w:styleId="DefinitionNumbering6">
    <w:name w:val="Definition Numbering 6"/>
    <w:basedOn w:val="HouseStyleBase"/>
    <w:pPr>
      <w:numPr>
        <w:ilvl w:val="7"/>
        <w:numId w:val="37"/>
      </w:numPr>
      <w:outlineLvl w:val="5"/>
    </w:pPr>
  </w:style>
  <w:style w:type="paragraph" w:customStyle="1" w:styleId="DefinitionNumbering7">
    <w:name w:val="Definition Numbering 7"/>
    <w:basedOn w:val="HouseStyleBase"/>
    <w:pPr>
      <w:numPr>
        <w:ilvl w:val="8"/>
        <w:numId w:val="37"/>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customStyle="1" w:styleId="ListBullet6">
    <w:name w:val="List Bullet 6"/>
    <w:basedOn w:val="HouseStyleBase"/>
    <w:pPr>
      <w:numPr>
        <w:ilvl w:val="5"/>
        <w:numId w:val="6"/>
      </w:numPr>
    </w:pPr>
  </w:style>
  <w:style w:type="paragraph" w:customStyle="1" w:styleId="ListBullet7">
    <w:name w:val="List Bullet 7"/>
    <w:basedOn w:val="HouseStyleBase"/>
    <w:pPr>
      <w:numPr>
        <w:ilvl w:val="6"/>
        <w:numId w:val="6"/>
      </w:numPr>
    </w:pPr>
  </w:style>
  <w:style w:type="paragraph" w:customStyle="1" w:styleId="ListBullet8">
    <w:name w:val="List Bullet 8"/>
    <w:basedOn w:val="HouseStyleBase"/>
    <w:pPr>
      <w:numPr>
        <w:ilvl w:val="7"/>
        <w:numId w:val="6"/>
      </w:numPr>
    </w:pPr>
  </w:style>
  <w:style w:type="paragraph" w:customStyle="1" w:styleId="ListBullet9">
    <w:name w:val="List Bullet 9"/>
    <w:basedOn w:val="HouseStyleBase"/>
    <w:pPr>
      <w:numPr>
        <w:ilvl w:val="8"/>
        <w:numId w:val="6"/>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14"/>
      </w:numPr>
      <w:outlineLvl w:val="1"/>
    </w:pPr>
    <w:rPr>
      <w:rFonts w:ascii="Calibri" w:hAnsi="Calibri"/>
    </w:rPr>
  </w:style>
  <w:style w:type="paragraph" w:customStyle="1" w:styleId="ScheduleL3">
    <w:name w:val="Schedule L3"/>
    <w:basedOn w:val="HouseStyleBase"/>
    <w:pPr>
      <w:numPr>
        <w:ilvl w:val="2"/>
        <w:numId w:val="14"/>
      </w:numPr>
      <w:outlineLvl w:val="2"/>
    </w:pPr>
    <w:rPr>
      <w:rFonts w:ascii="Calibri" w:hAnsi="Calibri"/>
    </w:rPr>
  </w:style>
  <w:style w:type="paragraph" w:customStyle="1" w:styleId="ScheduleL4">
    <w:name w:val="Schedule L4"/>
    <w:basedOn w:val="HouseStyleBase"/>
    <w:pPr>
      <w:numPr>
        <w:ilvl w:val="3"/>
        <w:numId w:val="14"/>
      </w:numPr>
      <w:outlineLvl w:val="3"/>
    </w:pPr>
  </w:style>
  <w:style w:type="paragraph" w:customStyle="1" w:styleId="ScheduleL5">
    <w:name w:val="Schedule L5"/>
    <w:basedOn w:val="HouseStyleBase"/>
    <w:pPr>
      <w:numPr>
        <w:ilvl w:val="4"/>
        <w:numId w:val="14"/>
      </w:numPr>
      <w:outlineLvl w:val="4"/>
    </w:pPr>
  </w:style>
  <w:style w:type="paragraph" w:customStyle="1" w:styleId="ScheduleL6">
    <w:name w:val="Schedule L6"/>
    <w:basedOn w:val="HouseStyleBase"/>
    <w:pPr>
      <w:numPr>
        <w:ilvl w:val="5"/>
        <w:numId w:val="14"/>
      </w:numPr>
      <w:outlineLvl w:val="5"/>
    </w:pPr>
  </w:style>
  <w:style w:type="paragraph" w:customStyle="1" w:styleId="ScheduleL7">
    <w:name w:val="Schedule L7"/>
    <w:basedOn w:val="HouseStyleBase"/>
    <w:pPr>
      <w:numPr>
        <w:ilvl w:val="6"/>
        <w:numId w:val="14"/>
      </w:numPr>
      <w:outlineLvl w:val="6"/>
    </w:pPr>
  </w:style>
  <w:style w:type="paragraph" w:customStyle="1" w:styleId="ScheduleL8">
    <w:name w:val="Schedule L8"/>
    <w:basedOn w:val="HouseStyleBase"/>
    <w:pPr>
      <w:numPr>
        <w:ilvl w:val="7"/>
        <w:numId w:val="14"/>
      </w:numPr>
      <w:outlineLvl w:val="7"/>
    </w:pPr>
  </w:style>
  <w:style w:type="paragraph" w:customStyle="1" w:styleId="ScheduleL9">
    <w:name w:val="Schedule L9"/>
    <w:basedOn w:val="HouseStyleBase"/>
    <w:pPr>
      <w:numPr>
        <w:ilvl w:val="8"/>
        <w:numId w:val="14"/>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7"/>
      </w:numPr>
      <w:overflowPunct w:val="0"/>
      <w:autoSpaceDE w:val="0"/>
      <w:autoSpaceDN w:val="0"/>
      <w:textAlignment w:val="baseline"/>
    </w:p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szCs w:val="22"/>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szCs w:val="22"/>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szCs w:val="22"/>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szCs w:val="22"/>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qFormat/>
    <w:pPr>
      <w:tabs>
        <w:tab w:val="left" w:pos="1134"/>
      </w:tabs>
      <w:overflowPunct/>
      <w:autoSpaceDE/>
      <w:autoSpaceDN/>
      <w:spacing w:before="120" w:after="120" w:line="240" w:lineRule="auto"/>
      <w:textAlignment w:val="auto"/>
    </w:pPr>
    <w:rPr>
      <w:rFonts w:ascii="Calibri" w:hAnsi="Calibri" w:cs="Arial"/>
      <w:b/>
      <w:szCs w:val="22"/>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TOCHeading"/>
    <w:next w:val="GPSL1SCHEDULEHeading"/>
    <w:link w:val="GPSL2NumberedChar"/>
    <w:autoRedefine/>
    <w:qFormat/>
    <w:rsid w:val="00CC4D45"/>
    <w:rPr>
      <w:rFonts w:ascii="Arial" w:hAnsi="Arial"/>
      <w:sz w:val="36"/>
      <w:szCs w:val="20"/>
    </w:rPr>
  </w:style>
  <w:style w:type="character" w:customStyle="1" w:styleId="GPSL2NumberedChar">
    <w:name w:val="GPS L2 Numbered Char"/>
    <w:link w:val="GPSL2Numbered"/>
    <w:locked/>
    <w:rsid w:val="00CC4D45"/>
    <w:rPr>
      <w:rFonts w:ascii="Arial" w:hAnsi="Arial"/>
      <w:b/>
      <w:bCs/>
      <w:kern w:val="32"/>
      <w:sz w:val="36"/>
      <w:lang w:eastAsia="en-US"/>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uiPriority w:val="99"/>
    <w:qFormat/>
    <w:pPr>
      <w:numPr>
        <w:numId w:val="18"/>
      </w:numPr>
      <w:tabs>
        <w:tab w:val="left" w:pos="-9"/>
      </w:tabs>
      <w:spacing w:after="120" w:line="240" w:lineRule="auto"/>
    </w:pPr>
    <w:rPr>
      <w:rFonts w:ascii="Arial" w:hAnsi="Arial" w:cs="Arial"/>
      <w:szCs w:val="22"/>
    </w:rPr>
  </w:style>
  <w:style w:type="paragraph" w:customStyle="1" w:styleId="GPSDefinitionL2">
    <w:name w:val="GPS Definition L2"/>
    <w:basedOn w:val="GPsDefinition"/>
    <w:uiPriority w:val="99"/>
    <w:qFormat/>
    <w:pPr>
      <w:numPr>
        <w:ilvl w:val="1"/>
      </w:numPr>
      <w:tabs>
        <w:tab w:val="clear" w:pos="-9"/>
        <w:tab w:val="left" w:pos="144"/>
      </w:tabs>
      <w:ind w:hanging="545"/>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qFormat/>
    <w:pPr>
      <w:spacing w:after="120" w:line="240" w:lineRule="auto"/>
      <w:ind w:left="-108"/>
      <w:jc w:val="left"/>
    </w:pPr>
    <w:rPr>
      <w:rFonts w:ascii="Arial" w:hAnsi="Arial" w:cs="Arial"/>
      <w:b/>
      <w:szCs w:val="22"/>
    </w:rPr>
  </w:style>
  <w:style w:type="character" w:customStyle="1" w:styleId="HeaderChar">
    <w:name w:val="Header Char"/>
    <w:link w:val="Header"/>
    <w:uiPriority w:val="99"/>
    <w:rPr>
      <w:sz w:val="22"/>
      <w:lang w:eastAsia="en-US"/>
    </w:rPr>
  </w:style>
  <w:style w:type="table" w:customStyle="1" w:styleId="TableGrid20">
    <w:name w:val="Table Grid2"/>
    <w:basedOn w:val="TableNormal"/>
    <w:next w:val="TableGrid"/>
    <w:uiPriority w:val="59"/>
    <w:rsid w:val="004F4EF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2GuidanceNumbered">
    <w:name w:val="GPS L2 Guidance Numbered"/>
    <w:basedOn w:val="Normal"/>
    <w:qFormat/>
    <w:rsid w:val="003F4796"/>
    <w:pPr>
      <w:numPr>
        <w:numId w:val="94"/>
      </w:numPr>
      <w:tabs>
        <w:tab w:val="left" w:pos="1418"/>
      </w:tabs>
      <w:overflowPunct/>
      <w:autoSpaceDE/>
      <w:autoSpaceDN/>
      <w:spacing w:before="120" w:after="120" w:line="240" w:lineRule="auto"/>
      <w:textAlignment w:val="auto"/>
    </w:pPr>
    <w:rPr>
      <w:rFonts w:ascii="Calibri" w:hAnsi="Calibri" w:cs="Arial"/>
      <w:b/>
      <w:i/>
      <w:szCs w:val="22"/>
      <w:lang w:eastAsia="zh-CN"/>
    </w:rPr>
  </w:style>
  <w:style w:type="paragraph" w:styleId="Revision">
    <w:name w:val="Revision"/>
    <w:hidden/>
    <w:uiPriority w:val="99"/>
    <w:semiHidden/>
    <w:rsid w:val="00E8102F"/>
    <w:rPr>
      <w:sz w:val="22"/>
      <w:lang w:eastAsia="en-US"/>
    </w:rPr>
  </w:style>
  <w:style w:type="paragraph" w:customStyle="1" w:styleId="GPSL2numberedclause">
    <w:name w:val="GPS L2 numbered clause"/>
    <w:basedOn w:val="Normal"/>
    <w:qFormat/>
    <w:rsid w:val="00100FF4"/>
    <w:pPr>
      <w:tabs>
        <w:tab w:val="left" w:pos="1134"/>
      </w:tabs>
      <w:overflowPunct/>
      <w:autoSpaceDE/>
      <w:autoSpaceDN/>
      <w:spacing w:before="120" w:after="120" w:line="240" w:lineRule="auto"/>
      <w:ind w:left="644" w:hanging="360"/>
      <w:textAlignment w:val="auto"/>
    </w:pPr>
    <w:rPr>
      <w:rFonts w:ascii="Calibri" w:hAnsi="Calibri" w:cs="Arial"/>
      <w:szCs w:val="22"/>
      <w:lang w:eastAsia="zh-CN"/>
    </w:rPr>
  </w:style>
  <w:style w:type="character" w:customStyle="1" w:styleId="GPSL4numberedclauseChar">
    <w:name w:val="GPS L4 numbered clause Char"/>
    <w:link w:val="GPSL4numberedclause"/>
    <w:rsid w:val="00C3533C"/>
    <w:rPr>
      <w:rFonts w:ascii="Calibri"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556">
      <w:bodyDiv w:val="1"/>
      <w:marLeft w:val="0"/>
      <w:marRight w:val="0"/>
      <w:marTop w:val="0"/>
      <w:marBottom w:val="0"/>
      <w:divBdr>
        <w:top w:val="none" w:sz="0" w:space="0" w:color="auto"/>
        <w:left w:val="none" w:sz="0" w:space="0" w:color="auto"/>
        <w:bottom w:val="none" w:sz="0" w:space="0" w:color="auto"/>
        <w:right w:val="none" w:sz="0" w:space="0" w:color="auto"/>
      </w:divBdr>
    </w:div>
    <w:div w:id="334188639">
      <w:bodyDiv w:val="1"/>
      <w:marLeft w:val="0"/>
      <w:marRight w:val="0"/>
      <w:marTop w:val="0"/>
      <w:marBottom w:val="0"/>
      <w:divBdr>
        <w:top w:val="none" w:sz="0" w:space="0" w:color="auto"/>
        <w:left w:val="none" w:sz="0" w:space="0" w:color="auto"/>
        <w:bottom w:val="none" w:sz="0" w:space="0" w:color="auto"/>
        <w:right w:val="none" w:sz="0" w:space="0" w:color="auto"/>
      </w:divBdr>
    </w:div>
    <w:div w:id="533155002">
      <w:bodyDiv w:val="1"/>
      <w:marLeft w:val="0"/>
      <w:marRight w:val="0"/>
      <w:marTop w:val="0"/>
      <w:marBottom w:val="0"/>
      <w:divBdr>
        <w:top w:val="none" w:sz="0" w:space="0" w:color="auto"/>
        <w:left w:val="none" w:sz="0" w:space="0" w:color="auto"/>
        <w:bottom w:val="none" w:sz="0" w:space="0" w:color="auto"/>
        <w:right w:val="none" w:sz="0" w:space="0" w:color="auto"/>
      </w:divBdr>
      <w:divsChild>
        <w:div w:id="1203009925">
          <w:marLeft w:val="0"/>
          <w:marRight w:val="0"/>
          <w:marTop w:val="0"/>
          <w:marBottom w:val="0"/>
          <w:divBdr>
            <w:top w:val="none" w:sz="0" w:space="0" w:color="auto"/>
            <w:left w:val="none" w:sz="0" w:space="0" w:color="auto"/>
            <w:bottom w:val="none" w:sz="0" w:space="0" w:color="auto"/>
            <w:right w:val="none" w:sz="0" w:space="0" w:color="auto"/>
          </w:divBdr>
          <w:divsChild>
            <w:div w:id="1319460432">
              <w:marLeft w:val="0"/>
              <w:marRight w:val="0"/>
              <w:marTop w:val="0"/>
              <w:marBottom w:val="0"/>
              <w:divBdr>
                <w:top w:val="single" w:sz="12" w:space="1" w:color="5292F7"/>
                <w:left w:val="single" w:sz="12" w:space="2" w:color="5292F7"/>
                <w:bottom w:val="single" w:sz="12" w:space="1" w:color="5292F7"/>
                <w:right w:val="single" w:sz="12" w:space="2" w:color="5292F7"/>
              </w:divBdr>
              <w:divsChild>
                <w:div w:id="19282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MA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 U K M A T T E R S ! 1 0 4 7 6 9 4 9 9 . 1 < / d o c u m e n t i d >  
     < s e n d e r i d > P R E S T O A < / s e n d e r i d >  
     < s e n d e r e m a i l > A L E X A N D E R . P R E S T O N @ D L A P I P E R . C O M < / s e n d e r e m a i l >  
     < l a s t m o d i f i e d > 2 0 2 0 - 0 8 - 1 3 T 1 8 : 5 7 : 0 0 . 0 0 0 0 0 0 0 + 0 1 : 0 0 < / l a s t m o d i f i e d >  
     < d a t a b a s e > U K M A T T E R S < / d a t a b a s e >  
 < / p r o p e r t i e s > 
</file>

<file path=customXml/item4.xml>��< ? x m l   v e r s i o n = " 1 . 0 "   e n c o d i n g = " u t f - 1 6 " ? > < p r o p e r t i e s   x m l n s = " h t t p : / / w w w . i m a n a g e . c o m / w o r k / x m l s c h e m a " >  
     < d o c u m e n t i d > U K M A T T E R S ! 1 0 4 8 2 7 7 2 6 . 2 < / d o c u m e n t i d >  
     < s e n d e r i d > P R E S T O A < / s e n d e r i d >  
     < s e n d e r e m a i l > A L E X A N D E R . P R E S T O N @ D L A P I P E R . C O M < / s e n d e r e m a i l >  
     < l a s t m o d i f i e d > 2 0 2 0 - 0 8 - 1 4 T 1 5 : 5 1 : 0 0 . 0 0 0 0 0 0 0 + 0 1 : 0 0 < / l a s t m o d i f i e d >  
     < d a t a b a s e > U K M A T T E R S < / 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A4F7-1270-4CCD-8375-6D6F3C5F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72DA6-A8AF-48C1-BB3E-FD915564D577}">
  <ds:schemaRefs>
    <ds:schemaRef ds:uri="http://schemas.microsoft.com/sharepoint/v3/contenttype/forms"/>
  </ds:schemaRefs>
</ds:datastoreItem>
</file>

<file path=customXml/itemProps3.xml><?xml version="1.0" encoding="utf-8"?>
<ds:datastoreItem xmlns:ds="http://schemas.openxmlformats.org/officeDocument/2006/customXml" ds:itemID="{77DA138B-7508-403D-BB2D-153F620C7037}">
  <ds:schemaRefs>
    <ds:schemaRef ds:uri="http://www.imanage.com/work/xmlschema"/>
  </ds:schemaRefs>
</ds:datastoreItem>
</file>

<file path=customXml/itemProps4.xml><?xml version="1.0" encoding="utf-8"?>
<ds:datastoreItem xmlns:ds="http://schemas.openxmlformats.org/officeDocument/2006/customXml" ds:itemID="{06D5AF2B-E7C5-46C1-A6F9-8AFDB5375E64}">
  <ds:schemaRefs>
    <ds:schemaRef ds:uri="http://www.imanage.com/work/xmlschema"/>
  </ds:schemaRefs>
</ds:datastoreItem>
</file>

<file path=customXml/itemProps5.xml><?xml version="1.0" encoding="utf-8"?>
<ds:datastoreItem xmlns:ds="http://schemas.openxmlformats.org/officeDocument/2006/customXml" ds:itemID="{2AB29B11-1421-4F4B-BB2D-A50C4FBE2F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54d426-3d83-4661-9a9f-e9903de7d154"/>
    <ds:schemaRef ds:uri="http://www.w3.org/XML/1998/namespace"/>
    <ds:schemaRef ds:uri="http://purl.org/dc/dcmitype/"/>
  </ds:schemaRefs>
</ds:datastoreItem>
</file>

<file path=customXml/itemProps6.xml><?xml version="1.0" encoding="utf-8"?>
<ds:datastoreItem xmlns:ds="http://schemas.openxmlformats.org/officeDocument/2006/customXml" ds:itemID="{55F5D560-5CB7-49BD-8E31-EEFDE32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1</TotalTime>
  <Pages>15</Pages>
  <Words>3756</Words>
  <Characters>19522</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Hanlon</dc:creator>
  <cp:keywords/>
  <dc:description/>
  <cp:lastModifiedBy>Eileen Waters</cp:lastModifiedBy>
  <cp:revision>2</cp:revision>
  <dcterms:created xsi:type="dcterms:W3CDTF">2020-08-17T16:13:00Z</dcterms:created>
  <dcterms:modified xsi:type="dcterms:W3CDTF">2020-08-17T16:13:00Z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y fmtid="{D5CDD505-2E9C-101B-9397-08002B2CF9AE}" pid="8" name="ContentTypeId">
    <vt:lpwstr>0x010100CAEBB98DB690C54A88A491298E3AFEFC</vt:lpwstr>
  </property>
  <property fmtid="{D5CDD505-2E9C-101B-9397-08002B2CF9AE}" pid="9" name="Plato EditorId">
    <vt:lpwstr>72ab3097-887b-4214-8b52-14b2e54791a7</vt:lpwstr>
  </property>
</Properties>
</file>