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tabs>
          <w:tab w:val="left" w:pos="5715"/>
        </w:tabs>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Call-Off Schedule 1 (Transparency Reports)</w:t>
      </w:r>
    </w:p>
    <w:p w:rsidR="00000000" w:rsidDel="00000000" w:rsidP="00000000" w:rsidRDefault="00000000" w:rsidRPr="00000000" w14:paraId="00000003">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The Supplier recognises that the Buyer is subject to PPN 01/17 (Updates to transparency principles v1.1 (</w:t>
      </w:r>
      <w:hyperlink r:id="rId7">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4">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6">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8">
      <w:pPr>
        <w:spacing w:after="0" w:lineRule="auto"/>
        <w:ind w:left="720" w:hanging="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The Supplier shall provide accurate and up-to-date versions of each Transparency Report to the Buyer at the frequency referred to in the Annex of this Schedule.</w:t>
      </w:r>
    </w:p>
    <w:p w:rsidR="00000000" w:rsidDel="00000000" w:rsidP="00000000" w:rsidRDefault="00000000" w:rsidRPr="00000000" w14:paraId="0000000A">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List of Transparency Reports</w:t>
      </w:r>
    </w:p>
    <w:tbl>
      <w:tblPr>
        <w:tblStyle w:val="Table1"/>
        <w:tblW w:w="8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553"/>
        <w:gridCol w:w="2248"/>
        <w:gridCol w:w="2248"/>
        <w:tblGridChange w:id="0">
          <w:tblGrid>
            <w:gridCol w:w="2943"/>
            <w:gridCol w:w="1553"/>
            <w:gridCol w:w="2248"/>
            <w:gridCol w:w="2248"/>
          </w:tblGrid>
        </w:tblGridChange>
      </w:tblGrid>
      <w:tr>
        <w:trPr>
          <w:trHeight w:val="12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Frequency </w:t>
            </w:r>
            <w:r w:rsidDel="00000000" w:rsidR="00000000" w:rsidRPr="00000000">
              <w:rPr>
                <w:rtl w:val="0"/>
              </w:rPr>
            </w:r>
          </w:p>
        </w:tc>
      </w:tr>
      <w:tr>
        <w:trPr>
          <w:trHeight w:val="21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tabs>
                <w:tab w:val="left" w:pos="3380"/>
              </w:tabs>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w:t>
            </w:r>
            <w:r w:rsidDel="00000000" w:rsidR="00000000" w:rsidRPr="00000000">
              <w:rPr>
                <w:rFonts w:ascii="Arial" w:cs="Arial" w:eastAsia="Arial" w:hAnsi="Arial"/>
                <w:color w:val="000000"/>
                <w:sz w:val="24"/>
                <w:szCs w:val="24"/>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Contract Charges]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[Key Subcontractors]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1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[Technical]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9">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trHeight w:val="21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bl>
    <w:p w:rsidR="00000000" w:rsidDel="00000000" w:rsidP="00000000" w:rsidRDefault="00000000" w:rsidRPr="00000000" w14:paraId="00000035">
      <w:pPr>
        <w:tabs>
          <w:tab w:val="left" w:pos="1251"/>
        </w:tabs>
        <w:rPr>
          <w:rFonts w:ascii="Arial" w:cs="Arial" w:eastAsia="Arial" w:hAnsi="Arial"/>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2">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46">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RM6229</w:t>
      <w:tab/>
      <w:t xml:space="preserv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v3.0</w:t>
      <w:tab/>
    </w:r>
    <w:r w:rsidDel="00000000" w:rsidR="00000000" w:rsidRPr="00000000">
      <w:rPr>
        <w:rFonts w:ascii="Arial" w:cs="Arial" w:eastAsia="Arial" w:hAnsi="Arial"/>
        <w:color w:val="a6a6a6"/>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ascii="Calibri" w:cs="Arial" w:eastAsia="Times New Roman" w:hAnsi="Calibri"/>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gqErUtKL3lLEB9vflo7NdTvbg==">AMUW2mUK/4dq8/L+lmSE07RHY2Py9qHakDgiCU+GLukhbEHtdvtZEy/2JqxrQSfQQhkLbfxwOQI08eiL4Eij81oG8owz3VtH55cwaYxJzbzKhG309fbvz1HVs+P7RUGJvQGUVbT8oI/T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2018-06-18T12:33:00Z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