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8 (Business Continuity and Disaster Recovery)</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7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5075"/>
        <w:tblGridChange w:id="0">
          <w:tblGrid>
            <w:gridCol w:w="3097"/>
            <w:gridCol w:w="5075"/>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"BCDR Plan"</w:t>
            </w:r>
          </w:p>
        </w:tc>
        <w:tc>
          <w:tcPr/>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2.2 of this Schedule;</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Continuity Plan"</w:t>
            </w:r>
          </w:p>
        </w:tc>
        <w:tc>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2.3.2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w:t>
            </w:r>
          </w:p>
        </w:tc>
        <w:tc>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of one or more events which, either separately or cumulatively, mean that the Deliverables, or a material part thereof will be unavailable (or could reasonably be anticipated to be unavailable);</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Deliverables"</w:t>
            </w:r>
          </w:p>
        </w:tc>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embodied in the processes and procedures for restoring the provision of Deliverables following the occurrence of a Disaster;</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Plan"</w:t>
            </w:r>
          </w:p>
        </w:tc>
        <w:tc>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2.3.3 of this Schedule;</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System"</w:t>
            </w:r>
          </w:p>
        </w:tc>
        <w:tc>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embodied in the processes and procedures for restoring the provision of Deliverables following the occurrence of a Disaster;</w:t>
            </w:r>
          </w:p>
        </w:tc>
      </w:tr>
      <w:tr>
        <w:trPr>
          <w:trHeight w:val="567"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"Related Supplier"</w:t>
            </w:r>
          </w:p>
        </w:tc>
        <w:tc>
          <w:tcPr/>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provides Deliverables to the Buyer which are related to the Deliverables from time to time;</w:t>
            </w:r>
          </w:p>
        </w:tc>
      </w:tr>
      <w:tr>
        <w:trPr>
          <w:trHeight w:val="567" w:hRule="atLeast"/>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Report"</w:t>
            </w:r>
          </w:p>
        </w:tc>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6.3 of this Schedule; and</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Proposals"</w:t>
            </w:r>
          </w:p>
        </w:tc>
        <w:tc>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6.3 of this Schedule;</w:t>
            </w:r>
          </w:p>
        </w:tc>
      </w:tr>
    </w:tbl>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BCDR Plan</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Schedule 4 (Framework Management), CCS shall have the right to enforce the Buyer's rights under this Schedule.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ninety (90) Working Days prior to the Start Date the Supplier shall prepare and deliver to the Buyer for the Buyer’s written approval a plan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“BCDR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shall detail the processes and arrangements that the Supplier shall follow to:</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recovery of the Deliverables in the event of a Disaster </w:t>
      </w:r>
    </w:p>
    <w:p w:rsidR="00000000" w:rsidDel="00000000" w:rsidP="00000000" w:rsidRDefault="00000000" w:rsidRPr="00000000" w14:paraId="0000001C">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divided into three sections:</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which shall set out general principles applicable to the BCDR Plan; </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 which shall relate to business continuity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Continuity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3 which shall relate to disaster recovery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General Principles of the BCDR Plan (Section 1)</w:t>
      </w:r>
      <w:r w:rsidDel="00000000" w:rsidR="00000000" w:rsidRPr="00000000">
        <w:rPr>
          <w:rtl w:val="0"/>
        </w:rPr>
      </w:r>
    </w:p>
    <w:p w:rsidR="00000000" w:rsidDel="00000000" w:rsidP="00000000" w:rsidRDefault="00000000" w:rsidRPr="00000000" w14:paraId="00000022">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 of the BCDR Plan shall:</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how the business continuity and disaster recovery elements of the BCDR Plan link to each other;</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an obligation upon the Supplier to liaise with the Buyer and any Related Suppliers with respect to business continuity and disaster recovery;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28">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 risk analysis, including:</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or disruption scenarios and assessments of likely frequency of occurrence;</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any single points of failure within the provision of Deliverables and processes for managing those risks;</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business impact analysis of different anticipated failures or disruptions;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for documentation of processes, including business processes, and procedures;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key contact details for the Supplier (and any Subcontractors) and for the Buyer;</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procedures for reverting to "normal service";</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responsibilities (if any) that the Buyer has agreed it will assume in the event of the invocation of the BCDR Plan; and</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3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designed so as to ensure that: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provided in accordance with this Contract at all times during and after the invocation of the BCDR Plan;</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adverse impact of any Disaster is minimised as far as reasonably possible; </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details a process for the management of disaster recovery testing.</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Business Continuity (Section 2)</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3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Continuity Plan shall:</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the various possible levels of failures of or disruptions to the provision of Deliverables;</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circumstances in which the Business Continuity Plan is invoked.</w:t>
      </w:r>
    </w:p>
    <w:p w:rsidR="00000000" w:rsidDel="00000000" w:rsidP="00000000" w:rsidRDefault="00000000" w:rsidRPr="00000000" w14:paraId="0000004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Disaster Recovery (Section 3)</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4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BCDR Plan shall include an approach to business continuity and disaster recovery that addresses the following:</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access to the Buyer Premises;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utilities to the Buyer Premises;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the Supplier's helpdesk or CAFM system;</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of a Subcontractor;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notification and escalation process;</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lists;</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training and awareness;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BCDR Plan testing; </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implementation review process; </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controls to any disaster recovery sites used by the Supplier in relation to its obligations pursuant to this Schedule; and</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testing and management arrangements.</w:t>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 and changing the BCDR Plan</w:t>
      </w:r>
      <w:r w:rsidDel="00000000" w:rsidR="00000000" w:rsidRPr="00000000">
        <w:rPr>
          <w:rtl w:val="0"/>
        </w:rPr>
      </w:r>
    </w:p>
    <w:p w:rsidR="00000000" w:rsidDel="00000000" w:rsidP="00000000" w:rsidRDefault="00000000" w:rsidRPr="00000000" w14:paraId="0000005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review the BCDR Plan:</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and as a minimum once every six (6) Months;</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three (3) calendar Months of the BCDR Plan (or any part) having been invoked pursuant to Paragraph 7; and</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twenty (20) Working Days of the conclusion of each such review of the BCDR Plan, provide to the Buyer a report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setting out the Supplier's proposals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Proposals"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addressing any changes in the risk profile and its proposals for amendments to the BCDR Plan.</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5C">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504"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Testing the BCDR Plan</w:t>
      </w:r>
    </w:p>
    <w:p w:rsidR="00000000" w:rsidDel="00000000" w:rsidP="00000000" w:rsidRDefault="00000000" w:rsidRPr="00000000" w14:paraId="0000005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test the BCDR Plan: </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and in any event not less than once in every Contract Year;</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any major reconfiguration of the Deliverables</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where the Buyer considers it necessary (acting in its sole discretion).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6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twenty (20) Working Days of the conclusion of each test, provide to the Buyer a report setting out:</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outcome of the test;</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failures in the BCDR Plan (including the BCDR Plan's procedures) revealed by the test; and</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proposals for remedying any such failures.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Invoking the BCDR Plan</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504"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ircumstances beyond your control</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be entitled to relief under Clause 20 (Circumstances beyond your control) if it would not have been impacted by the Force Majeure Event had it not failed to comply with its obligations under this Schedule. </w:t>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RM6229</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r w:rsidDel="00000000" w:rsidR="00000000" w:rsidRPr="00000000">
      <w:rPr>
        <w:sz w:val="20"/>
        <w:szCs w:val="20"/>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v2.9</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6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6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 2018</w:t>
    </w:r>
  </w:p>
  <w:p w:rsidR="00000000" w:rsidDel="00000000" w:rsidP="00000000" w:rsidRDefault="00000000" w:rsidRPr="00000000" w14:paraId="00000070">
    <w:pPr>
      <w:tabs>
        <w:tab w:val="center" w:pos="4513"/>
        <w:tab w:val="right" w:pos="9026"/>
      </w:tabs>
      <w:spacing w:after="0" w:lineRule="auto"/>
      <w:ind w:lef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ind w:left="360" w:hanging="36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clear" w:pos="720"/>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440"/>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rPr>
      <w:rFonts w:ascii="Arial" w:cs="Arial" w:eastAsia="Times New Roman" w:hAnsi="Arial"/>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FWpgTAb10OnGBuTLHqt4vlM8w==">AMUW2mWir7aeOntiXXBry99P1CbL7rTz58qixKP6FfCjdLb7iUfylgPa5JswdF+UrKZC40cFL1EljKuf+rc7rqPj7n6NPynFEUK6r2nZys/aKRFoqBvpKQCK5K/ua7XtsB+El1hBS9uEsDsP1t7YgT/VXleBqg77PW5pMMo8yJFbX8V6m64PrqQo4giKuLfsse4Ugs1pb+s+ieaPVQ34N8ueaIaxupT2+8AOU34wIl7Ctlt5HPZL5+PXCWnJXuahUzBiZudXAIK8PnfPXVIQbC/7oNNk2+rdHSQCPK6IhPmESRK3T5Ym+d8u5DxlY89E3F5jDXUWmMIph/KwRbK0Rv9gV0LcSFLCl30SMCkuv/ljIUWcVQQt/kVDIFtWJ2+jnNlC+13qAjEgtSLYY1W/iM+Vw0Sq5zQJ91BIWoB676RLEDt2WyFgwosBj8r04NTjICDn7bc7RL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2020-02-27T14:12:00Z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