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79" w:rsidRPr="0081146D" w:rsidRDefault="00946579">
      <w:r w:rsidRPr="0081146D">
        <w:rPr>
          <w:noProof/>
          <w:lang w:eastAsia="en-GB"/>
        </w:rPr>
        <w:drawing>
          <wp:anchor distT="0" distB="0" distL="114300" distR="114300" simplePos="0" relativeHeight="251661312" behindDoc="1" locked="0" layoutInCell="1" allowOverlap="1" wp14:anchorId="5753453D" wp14:editId="30940EED">
            <wp:simplePos x="0" y="0"/>
            <wp:positionH relativeFrom="column">
              <wp:posOffset>0</wp:posOffset>
            </wp:positionH>
            <wp:positionV relativeFrom="paragraph">
              <wp:posOffset>0</wp:posOffset>
            </wp:positionV>
            <wp:extent cx="1695450" cy="1371600"/>
            <wp:effectExtent l="0" t="0" r="0" b="0"/>
            <wp:wrapNone/>
            <wp:docPr id="1"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7" cstate="print"/>
                    <a:srcRect/>
                    <a:stretch>
                      <a:fillRect/>
                    </a:stretch>
                  </pic:blipFill>
                  <pic:spPr bwMode="auto">
                    <a:xfrm>
                      <a:off x="0" y="0"/>
                      <a:ext cx="1695450" cy="1371600"/>
                    </a:xfrm>
                    <a:prstGeom prst="rect">
                      <a:avLst/>
                    </a:prstGeom>
                    <a:noFill/>
                  </pic:spPr>
                </pic:pic>
              </a:graphicData>
            </a:graphic>
          </wp:anchor>
        </w:drawing>
      </w:r>
    </w:p>
    <w:p w:rsidR="00946579" w:rsidRPr="0081146D" w:rsidRDefault="00946579"/>
    <w:p w:rsidR="00946579" w:rsidRPr="0081146D" w:rsidRDefault="00946579"/>
    <w:p w:rsidR="00946579" w:rsidRPr="0081146D" w:rsidRDefault="00946579"/>
    <w:p w:rsidR="00946579" w:rsidRPr="0081146D" w:rsidRDefault="00946579"/>
    <w:p w:rsidR="00946579" w:rsidRPr="0081146D" w:rsidRDefault="00946579"/>
    <w:p w:rsidR="00271AA1" w:rsidRPr="0081146D" w:rsidRDefault="00946579">
      <w:pPr>
        <w:rPr>
          <w:rFonts w:ascii="Arial" w:hAnsi="Arial" w:cs="Arial"/>
          <w:sz w:val="40"/>
          <w:szCs w:val="40"/>
        </w:rPr>
      </w:pPr>
      <w:r w:rsidRPr="0081146D">
        <w:rPr>
          <w:rFonts w:ascii="Arial" w:hAnsi="Arial" w:cs="Arial"/>
          <w:sz w:val="40"/>
          <w:szCs w:val="40"/>
        </w:rPr>
        <w:t xml:space="preserve">Attachment </w:t>
      </w:r>
      <w:r w:rsidR="009031EE" w:rsidRPr="0081146D">
        <w:rPr>
          <w:rFonts w:ascii="Arial" w:hAnsi="Arial" w:cs="Arial"/>
          <w:sz w:val="40"/>
          <w:szCs w:val="40"/>
        </w:rPr>
        <w:t>7</w:t>
      </w:r>
      <w:r w:rsidRPr="0081146D">
        <w:rPr>
          <w:rFonts w:ascii="Arial" w:hAnsi="Arial" w:cs="Arial"/>
          <w:sz w:val="40"/>
          <w:szCs w:val="40"/>
        </w:rPr>
        <w:t xml:space="preserve"> – Price Matrix Instructions</w:t>
      </w:r>
    </w:p>
    <w:p w:rsidR="00D123A9" w:rsidRPr="0081146D" w:rsidRDefault="00D123A9">
      <w:pPr>
        <w:rPr>
          <w:rFonts w:ascii="Arial" w:hAnsi="Arial" w:cs="Arial"/>
          <w:sz w:val="40"/>
          <w:szCs w:val="40"/>
        </w:rPr>
      </w:pPr>
      <w:r w:rsidRPr="0081146D">
        <w:rPr>
          <w:rFonts w:ascii="Arial" w:hAnsi="Arial" w:cs="Arial"/>
          <w:sz w:val="40"/>
          <w:szCs w:val="40"/>
        </w:rPr>
        <w:t>Bidder</w:t>
      </w:r>
      <w:r w:rsidR="0081146D" w:rsidRPr="0081146D">
        <w:rPr>
          <w:rFonts w:ascii="Arial" w:hAnsi="Arial" w:cs="Arial"/>
          <w:sz w:val="40"/>
          <w:szCs w:val="40"/>
        </w:rPr>
        <w:t>’</w:t>
      </w:r>
      <w:r w:rsidRPr="0081146D">
        <w:rPr>
          <w:rFonts w:ascii="Arial" w:hAnsi="Arial" w:cs="Arial"/>
          <w:sz w:val="40"/>
          <w:szCs w:val="40"/>
        </w:rPr>
        <w:t>s Guidance</w:t>
      </w:r>
    </w:p>
    <w:p w:rsidR="00946579" w:rsidRPr="0081146D" w:rsidRDefault="00946579">
      <w:pPr>
        <w:rPr>
          <w:rFonts w:ascii="Arial" w:hAnsi="Arial" w:cs="Arial"/>
          <w:sz w:val="40"/>
          <w:szCs w:val="40"/>
        </w:rPr>
      </w:pPr>
    </w:p>
    <w:p w:rsidR="00946579" w:rsidRPr="0081146D" w:rsidRDefault="00946579">
      <w:pPr>
        <w:rPr>
          <w:rFonts w:ascii="Arial" w:hAnsi="Arial" w:cs="Arial"/>
          <w:sz w:val="40"/>
          <w:szCs w:val="40"/>
        </w:rPr>
      </w:pPr>
      <w:r w:rsidRPr="0081146D">
        <w:rPr>
          <w:rFonts w:ascii="Arial" w:hAnsi="Arial" w:cs="Arial"/>
          <w:sz w:val="40"/>
          <w:szCs w:val="40"/>
        </w:rPr>
        <w:t>[INSERT PROCUREMENT NAME]</w:t>
      </w:r>
    </w:p>
    <w:p w:rsidR="00946579" w:rsidRPr="0081146D" w:rsidRDefault="00946579">
      <w:pPr>
        <w:rPr>
          <w:rFonts w:ascii="Arial" w:hAnsi="Arial" w:cs="Arial"/>
          <w:sz w:val="40"/>
          <w:szCs w:val="40"/>
        </w:rPr>
      </w:pPr>
    </w:p>
    <w:p w:rsidR="00946579" w:rsidRPr="0081146D" w:rsidRDefault="00946579">
      <w:pPr>
        <w:rPr>
          <w:rFonts w:ascii="Arial" w:hAnsi="Arial" w:cs="Arial"/>
          <w:sz w:val="40"/>
          <w:szCs w:val="40"/>
        </w:rPr>
      </w:pPr>
      <w:r w:rsidRPr="0081146D">
        <w:rPr>
          <w:rFonts w:ascii="Arial" w:hAnsi="Arial" w:cs="Arial"/>
          <w:sz w:val="40"/>
          <w:szCs w:val="40"/>
        </w:rPr>
        <w:t>Further competition under [Lot 1a/1b/1c] of Facilities Management and Workplace Services RM6232</w:t>
      </w:r>
    </w:p>
    <w:p w:rsidR="00946579" w:rsidRPr="0081146D" w:rsidRDefault="00946579">
      <w:pPr>
        <w:rPr>
          <w:rFonts w:ascii="Arial" w:hAnsi="Arial" w:cs="Arial"/>
          <w:sz w:val="40"/>
          <w:szCs w:val="40"/>
        </w:rPr>
      </w:pPr>
    </w:p>
    <w:p w:rsidR="00946579" w:rsidRPr="0081146D" w:rsidRDefault="00946579">
      <w:pPr>
        <w:rPr>
          <w:rFonts w:ascii="Arial" w:hAnsi="Arial" w:cs="Arial"/>
          <w:sz w:val="40"/>
          <w:szCs w:val="40"/>
        </w:rPr>
      </w:pPr>
    </w:p>
    <w:p w:rsidR="00946579" w:rsidRPr="0081146D" w:rsidRDefault="00946579">
      <w:pPr>
        <w:rPr>
          <w:rFonts w:ascii="Arial" w:hAnsi="Arial" w:cs="Arial"/>
          <w:sz w:val="40"/>
          <w:szCs w:val="40"/>
        </w:rPr>
      </w:pPr>
    </w:p>
    <w:p w:rsidR="00946579" w:rsidRPr="0081146D" w:rsidRDefault="00946579">
      <w:pPr>
        <w:rPr>
          <w:rFonts w:ascii="Arial" w:hAnsi="Arial" w:cs="Arial"/>
          <w:sz w:val="40"/>
          <w:szCs w:val="40"/>
        </w:rPr>
      </w:pPr>
    </w:p>
    <w:p w:rsidR="00946579" w:rsidRPr="0081146D" w:rsidRDefault="00946579">
      <w:pPr>
        <w:rPr>
          <w:rFonts w:ascii="Arial" w:hAnsi="Arial" w:cs="Arial"/>
          <w:sz w:val="40"/>
          <w:szCs w:val="40"/>
        </w:rPr>
      </w:pPr>
    </w:p>
    <w:p w:rsidR="00946579" w:rsidRPr="0081146D" w:rsidRDefault="00946579">
      <w:pPr>
        <w:rPr>
          <w:rFonts w:ascii="Arial" w:hAnsi="Arial" w:cs="Arial"/>
          <w:sz w:val="40"/>
          <w:szCs w:val="40"/>
        </w:rPr>
      </w:pPr>
    </w:p>
    <w:p w:rsidR="00946579" w:rsidRPr="0081146D" w:rsidRDefault="00946579">
      <w:pPr>
        <w:rPr>
          <w:rFonts w:ascii="Arial" w:hAnsi="Arial" w:cs="Arial"/>
          <w:sz w:val="40"/>
          <w:szCs w:val="40"/>
        </w:rPr>
      </w:pPr>
    </w:p>
    <w:p w:rsidR="00946579" w:rsidRPr="0081146D" w:rsidRDefault="00946579">
      <w:pPr>
        <w:rPr>
          <w:rFonts w:ascii="Arial" w:hAnsi="Arial" w:cs="Arial"/>
          <w:sz w:val="40"/>
          <w:szCs w:val="40"/>
        </w:rPr>
      </w:pPr>
    </w:p>
    <w:p w:rsidR="00946579" w:rsidRPr="0081146D" w:rsidRDefault="00946579">
      <w:pPr>
        <w:rPr>
          <w:rFonts w:ascii="Arial" w:hAnsi="Arial" w:cs="Arial"/>
          <w:sz w:val="16"/>
          <w:szCs w:val="16"/>
        </w:rPr>
      </w:pPr>
    </w:p>
    <w:p w:rsidR="00946579" w:rsidRPr="0081146D" w:rsidRDefault="00946579">
      <w:pPr>
        <w:rPr>
          <w:rFonts w:ascii="Arial" w:hAnsi="Arial" w:cs="Arial"/>
        </w:rPr>
      </w:pPr>
    </w:p>
    <w:p w:rsidR="00946579" w:rsidRPr="0081146D" w:rsidRDefault="00946579">
      <w:pPr>
        <w:rPr>
          <w:rFonts w:ascii="Arial" w:hAnsi="Arial" w:cs="Arial"/>
        </w:rPr>
      </w:pPr>
      <w:r w:rsidRPr="0081146D">
        <w:rPr>
          <w:rFonts w:ascii="Arial" w:hAnsi="Arial" w:cs="Arial"/>
        </w:rPr>
        <w:t>Version 1.0</w:t>
      </w:r>
    </w:p>
    <w:p w:rsidR="00946579" w:rsidRPr="0081146D" w:rsidRDefault="00946579" w:rsidP="00946579">
      <w:pPr>
        <w:jc w:val="center"/>
        <w:rPr>
          <w:rFonts w:ascii="Arial" w:hAnsi="Arial" w:cs="Arial"/>
          <w:b/>
        </w:rPr>
      </w:pPr>
      <w:r w:rsidRPr="0081146D">
        <w:rPr>
          <w:rFonts w:ascii="Arial" w:hAnsi="Arial" w:cs="Arial"/>
          <w:b/>
        </w:rPr>
        <w:lastRenderedPageBreak/>
        <w:t>C</w:t>
      </w:r>
      <w:r w:rsidR="00A7072B" w:rsidRPr="0081146D">
        <w:rPr>
          <w:rFonts w:ascii="Arial" w:hAnsi="Arial" w:cs="Arial"/>
          <w:b/>
        </w:rPr>
        <w:t>ONTENTS</w:t>
      </w:r>
    </w:p>
    <w:p w:rsidR="00946579" w:rsidRPr="0081146D" w:rsidRDefault="00946579" w:rsidP="00946579">
      <w:pPr>
        <w:jc w:val="center"/>
        <w:rPr>
          <w:rFonts w:ascii="Arial" w:hAnsi="Arial" w:cs="Arial"/>
        </w:rPr>
      </w:pPr>
    </w:p>
    <w:p w:rsidR="00946579" w:rsidRPr="0081146D" w:rsidRDefault="00946579" w:rsidP="00946579">
      <w:pPr>
        <w:pStyle w:val="ListParagraph"/>
        <w:numPr>
          <w:ilvl w:val="0"/>
          <w:numId w:val="2"/>
        </w:numPr>
        <w:rPr>
          <w:rFonts w:ascii="Arial" w:hAnsi="Arial" w:cs="Arial"/>
        </w:rPr>
      </w:pPr>
      <w:r w:rsidRPr="0081146D">
        <w:rPr>
          <w:rFonts w:ascii="Arial" w:hAnsi="Arial" w:cs="Arial"/>
        </w:rPr>
        <w:t>Introduction</w:t>
      </w:r>
    </w:p>
    <w:p w:rsidR="00082936" w:rsidRPr="0081146D" w:rsidRDefault="00082936" w:rsidP="00946579">
      <w:pPr>
        <w:pStyle w:val="ListParagraph"/>
        <w:numPr>
          <w:ilvl w:val="0"/>
          <w:numId w:val="2"/>
        </w:numPr>
        <w:rPr>
          <w:rFonts w:ascii="Arial" w:hAnsi="Arial" w:cs="Arial"/>
        </w:rPr>
      </w:pPr>
      <w:r w:rsidRPr="0081146D">
        <w:rPr>
          <w:rFonts w:ascii="Arial" w:hAnsi="Arial" w:cs="Arial"/>
        </w:rPr>
        <w:t>General</w:t>
      </w:r>
    </w:p>
    <w:p w:rsidR="00946579" w:rsidRPr="0081146D" w:rsidRDefault="00946579" w:rsidP="00946579">
      <w:pPr>
        <w:pStyle w:val="ListParagraph"/>
        <w:numPr>
          <w:ilvl w:val="0"/>
          <w:numId w:val="2"/>
        </w:numPr>
        <w:rPr>
          <w:rFonts w:ascii="Arial" w:hAnsi="Arial" w:cs="Arial"/>
        </w:rPr>
      </w:pPr>
      <w:r w:rsidRPr="0081146D">
        <w:rPr>
          <w:rFonts w:ascii="Arial" w:hAnsi="Arial" w:cs="Arial"/>
        </w:rPr>
        <w:t>Cover Sheet</w:t>
      </w:r>
    </w:p>
    <w:p w:rsidR="00946579" w:rsidRPr="0081146D" w:rsidRDefault="00946579" w:rsidP="00946579">
      <w:pPr>
        <w:pStyle w:val="ListParagraph"/>
        <w:numPr>
          <w:ilvl w:val="0"/>
          <w:numId w:val="2"/>
        </w:numPr>
        <w:rPr>
          <w:rFonts w:ascii="Arial" w:hAnsi="Arial" w:cs="Arial"/>
        </w:rPr>
      </w:pPr>
      <w:r w:rsidRPr="0081146D">
        <w:rPr>
          <w:rFonts w:ascii="Arial" w:hAnsi="Arial" w:cs="Arial"/>
        </w:rPr>
        <w:t>Service Matrix</w:t>
      </w:r>
    </w:p>
    <w:p w:rsidR="00834E73" w:rsidRPr="0081146D" w:rsidRDefault="00834E73" w:rsidP="00834E73">
      <w:pPr>
        <w:pStyle w:val="ListParagraph"/>
        <w:numPr>
          <w:ilvl w:val="0"/>
          <w:numId w:val="2"/>
        </w:numPr>
        <w:rPr>
          <w:rFonts w:ascii="Arial" w:hAnsi="Arial" w:cs="Arial"/>
        </w:rPr>
      </w:pPr>
      <w:r w:rsidRPr="0081146D">
        <w:rPr>
          <w:rFonts w:ascii="Arial" w:hAnsi="Arial" w:cs="Arial"/>
        </w:rPr>
        <w:t>Planned Deliverables</w:t>
      </w:r>
    </w:p>
    <w:p w:rsidR="00946579" w:rsidRPr="0081146D" w:rsidRDefault="00946579" w:rsidP="00946579">
      <w:pPr>
        <w:pStyle w:val="ListParagraph"/>
        <w:numPr>
          <w:ilvl w:val="0"/>
          <w:numId w:val="2"/>
        </w:numPr>
        <w:rPr>
          <w:rFonts w:ascii="Arial" w:hAnsi="Arial" w:cs="Arial"/>
        </w:rPr>
      </w:pPr>
      <w:r w:rsidRPr="0081146D">
        <w:rPr>
          <w:rFonts w:ascii="Arial" w:hAnsi="Arial" w:cs="Arial"/>
        </w:rPr>
        <w:t>Reactive Maintenance</w:t>
      </w:r>
    </w:p>
    <w:p w:rsidR="00946579" w:rsidRPr="0081146D" w:rsidRDefault="00946579" w:rsidP="00946579">
      <w:pPr>
        <w:pStyle w:val="ListParagraph"/>
        <w:numPr>
          <w:ilvl w:val="0"/>
          <w:numId w:val="2"/>
        </w:numPr>
        <w:rPr>
          <w:rFonts w:ascii="Arial" w:hAnsi="Arial" w:cs="Arial"/>
        </w:rPr>
      </w:pPr>
      <w:r w:rsidRPr="0081146D">
        <w:rPr>
          <w:rFonts w:ascii="Arial" w:hAnsi="Arial" w:cs="Arial"/>
        </w:rPr>
        <w:t>Variables</w:t>
      </w:r>
    </w:p>
    <w:p w:rsidR="00946579" w:rsidRPr="0081146D" w:rsidRDefault="00946579" w:rsidP="00946579">
      <w:pPr>
        <w:pStyle w:val="ListParagraph"/>
        <w:numPr>
          <w:ilvl w:val="0"/>
          <w:numId w:val="2"/>
        </w:numPr>
        <w:rPr>
          <w:rFonts w:ascii="Arial" w:hAnsi="Arial" w:cs="Arial"/>
        </w:rPr>
      </w:pPr>
      <w:r w:rsidRPr="0081146D">
        <w:rPr>
          <w:rFonts w:ascii="Arial" w:hAnsi="Arial" w:cs="Arial"/>
        </w:rPr>
        <w:t>Management Overhead</w:t>
      </w:r>
    </w:p>
    <w:p w:rsidR="00946579" w:rsidRPr="0081146D" w:rsidRDefault="00946579" w:rsidP="00946579">
      <w:pPr>
        <w:pStyle w:val="ListParagraph"/>
        <w:numPr>
          <w:ilvl w:val="0"/>
          <w:numId w:val="2"/>
        </w:numPr>
        <w:rPr>
          <w:rFonts w:ascii="Arial" w:hAnsi="Arial" w:cs="Arial"/>
        </w:rPr>
      </w:pPr>
      <w:r w:rsidRPr="0081146D">
        <w:rPr>
          <w:rFonts w:ascii="Arial" w:hAnsi="Arial" w:cs="Arial"/>
        </w:rPr>
        <w:t>Mobilisation</w:t>
      </w:r>
    </w:p>
    <w:p w:rsidR="00946579" w:rsidRPr="0081146D" w:rsidRDefault="00946579" w:rsidP="00946579">
      <w:pPr>
        <w:pStyle w:val="ListParagraph"/>
        <w:numPr>
          <w:ilvl w:val="0"/>
          <w:numId w:val="2"/>
        </w:numPr>
        <w:rPr>
          <w:rFonts w:ascii="Arial" w:hAnsi="Arial" w:cs="Arial"/>
        </w:rPr>
      </w:pPr>
      <w:r w:rsidRPr="0081146D">
        <w:rPr>
          <w:rFonts w:ascii="Arial" w:hAnsi="Arial" w:cs="Arial"/>
        </w:rPr>
        <w:t>TUPE</w:t>
      </w:r>
    </w:p>
    <w:p w:rsidR="00946579" w:rsidRPr="0081146D" w:rsidRDefault="00946579" w:rsidP="00834E73">
      <w:pPr>
        <w:pStyle w:val="ListParagraph"/>
        <w:numPr>
          <w:ilvl w:val="0"/>
          <w:numId w:val="2"/>
        </w:numPr>
        <w:rPr>
          <w:rFonts w:ascii="Arial" w:hAnsi="Arial" w:cs="Arial"/>
        </w:rPr>
      </w:pPr>
      <w:r w:rsidRPr="0081146D">
        <w:rPr>
          <w:rFonts w:ascii="Arial" w:hAnsi="Arial" w:cs="Arial"/>
        </w:rPr>
        <w:t>Billable Works</w:t>
      </w:r>
    </w:p>
    <w:p w:rsidR="00946579" w:rsidRPr="0081146D" w:rsidRDefault="00946579" w:rsidP="00946579">
      <w:pPr>
        <w:pStyle w:val="ListParagraph"/>
        <w:numPr>
          <w:ilvl w:val="0"/>
          <w:numId w:val="2"/>
        </w:numPr>
        <w:rPr>
          <w:rFonts w:ascii="Arial" w:hAnsi="Arial" w:cs="Arial"/>
        </w:rPr>
      </w:pPr>
      <w:r w:rsidRPr="0081146D">
        <w:rPr>
          <w:rFonts w:ascii="Arial" w:hAnsi="Arial" w:cs="Arial"/>
        </w:rPr>
        <w:t>Year 1 Deliverables</w:t>
      </w:r>
    </w:p>
    <w:p w:rsidR="00946579" w:rsidRPr="0081146D" w:rsidRDefault="00946579" w:rsidP="00946579">
      <w:pPr>
        <w:pStyle w:val="ListParagraph"/>
        <w:numPr>
          <w:ilvl w:val="0"/>
          <w:numId w:val="2"/>
        </w:numPr>
        <w:rPr>
          <w:rFonts w:ascii="Arial" w:hAnsi="Arial" w:cs="Arial"/>
        </w:rPr>
      </w:pPr>
      <w:r w:rsidRPr="0081146D">
        <w:rPr>
          <w:rFonts w:ascii="Arial" w:hAnsi="Arial" w:cs="Arial"/>
        </w:rPr>
        <w:t>Total Charges</w:t>
      </w:r>
    </w:p>
    <w:p w:rsidR="00946579" w:rsidRPr="0081146D" w:rsidRDefault="00946579" w:rsidP="00946579">
      <w:pPr>
        <w:pStyle w:val="ListParagraph"/>
        <w:numPr>
          <w:ilvl w:val="0"/>
          <w:numId w:val="2"/>
        </w:numPr>
        <w:rPr>
          <w:rFonts w:ascii="Arial" w:hAnsi="Arial" w:cs="Arial"/>
        </w:rPr>
      </w:pPr>
      <w:r w:rsidRPr="0081146D">
        <w:rPr>
          <w:rFonts w:ascii="Arial" w:hAnsi="Arial" w:cs="Arial"/>
        </w:rPr>
        <w:t>Framework Rates (</w:t>
      </w:r>
      <w:r w:rsidR="00B00CA4" w:rsidRPr="0081146D">
        <w:rPr>
          <w:rFonts w:ascii="Arial" w:hAnsi="Arial" w:cs="Arial"/>
        </w:rPr>
        <w:t>Services, Variables and Billable Works</w:t>
      </w:r>
      <w:r w:rsidRPr="0081146D">
        <w:rPr>
          <w:rFonts w:ascii="Arial" w:hAnsi="Arial" w:cs="Arial"/>
        </w:rPr>
        <w:t>)</w:t>
      </w:r>
    </w:p>
    <w:p w:rsidR="00834E73" w:rsidRPr="0081146D" w:rsidRDefault="00834E73" w:rsidP="00946579">
      <w:pPr>
        <w:pStyle w:val="ListParagraph"/>
        <w:numPr>
          <w:ilvl w:val="0"/>
          <w:numId w:val="2"/>
        </w:numPr>
        <w:rPr>
          <w:rFonts w:ascii="Arial" w:hAnsi="Arial" w:cs="Arial"/>
        </w:rPr>
      </w:pPr>
      <w:r w:rsidRPr="0081146D">
        <w:rPr>
          <w:rFonts w:ascii="Arial" w:hAnsi="Arial" w:cs="Arial"/>
        </w:rPr>
        <w:t>Price List (IRT Option 1 and 2)</w:t>
      </w:r>
    </w:p>
    <w:p w:rsidR="00D123A9" w:rsidRPr="0081146D" w:rsidRDefault="00D123A9" w:rsidP="00D123A9">
      <w:pPr>
        <w:pStyle w:val="ListParagraph"/>
        <w:numPr>
          <w:ilvl w:val="0"/>
          <w:numId w:val="2"/>
        </w:numPr>
        <w:rPr>
          <w:rFonts w:ascii="Arial" w:hAnsi="Arial" w:cs="Arial"/>
        </w:rPr>
      </w:pPr>
      <w:r w:rsidRPr="0081146D">
        <w:rPr>
          <w:rFonts w:ascii="Arial" w:hAnsi="Arial" w:cs="Arial"/>
        </w:rPr>
        <w:t>Compliance</w:t>
      </w:r>
    </w:p>
    <w:p w:rsidR="00F83493" w:rsidRPr="0081146D" w:rsidRDefault="00F83493" w:rsidP="00D123A9">
      <w:pPr>
        <w:pStyle w:val="ListParagraph"/>
        <w:numPr>
          <w:ilvl w:val="0"/>
          <w:numId w:val="2"/>
        </w:numPr>
        <w:rPr>
          <w:rFonts w:ascii="Arial" w:hAnsi="Arial" w:cs="Arial"/>
        </w:rPr>
      </w:pPr>
      <w:r w:rsidRPr="0081146D">
        <w:rPr>
          <w:rFonts w:ascii="Arial" w:hAnsi="Arial" w:cs="Arial"/>
        </w:rPr>
        <w:t>Analysis</w:t>
      </w:r>
    </w:p>
    <w:p w:rsidR="00082936" w:rsidRPr="0081146D" w:rsidRDefault="00082936">
      <w:pPr>
        <w:rPr>
          <w:rFonts w:ascii="Arial" w:hAnsi="Arial" w:cs="Arial"/>
        </w:rPr>
      </w:pPr>
      <w:r w:rsidRPr="0081146D">
        <w:rPr>
          <w:rFonts w:ascii="Arial" w:hAnsi="Arial" w:cs="Arial"/>
        </w:rPr>
        <w:br w:type="page"/>
      </w:r>
    </w:p>
    <w:p w:rsidR="00082936" w:rsidRPr="0081146D" w:rsidRDefault="00D123A9" w:rsidP="00082936">
      <w:pPr>
        <w:pStyle w:val="Heading1"/>
        <w:numPr>
          <w:ilvl w:val="0"/>
          <w:numId w:val="4"/>
        </w:numPr>
      </w:pPr>
      <w:r w:rsidRPr="0081146D">
        <w:lastRenderedPageBreak/>
        <w:t>INTRODUCTION</w:t>
      </w:r>
    </w:p>
    <w:p w:rsidR="00082936" w:rsidRPr="0081146D" w:rsidRDefault="00082936" w:rsidP="00F83493">
      <w:pPr>
        <w:pStyle w:val="Heading2"/>
      </w:pPr>
      <w:r w:rsidRPr="0081146D">
        <w:t xml:space="preserve">This document provides Bidders with guidance and instructions on how to complete </w:t>
      </w:r>
      <w:r w:rsidR="0081146D" w:rsidRPr="0081146D">
        <w:t>‘</w:t>
      </w:r>
      <w:r w:rsidRPr="0081146D">
        <w:t>Attachment 4 – Price Matrix</w:t>
      </w:r>
      <w:r w:rsidR="0081146D" w:rsidRPr="0081146D">
        <w:t>’</w:t>
      </w:r>
      <w:r w:rsidRPr="0081146D">
        <w:t>.</w:t>
      </w:r>
    </w:p>
    <w:p w:rsidR="00082936" w:rsidRPr="0081146D" w:rsidRDefault="00082936" w:rsidP="00F83493">
      <w:pPr>
        <w:pStyle w:val="Heading2"/>
      </w:pPr>
      <w:r w:rsidRPr="0081146D">
        <w:t>Failure to adhere to the instructions and guidance within this Attachment 7 may deem your Bid non-compliant and you will no longer be able to continue in this Further Competition process.</w:t>
      </w:r>
    </w:p>
    <w:p w:rsidR="00082936" w:rsidRPr="0081146D" w:rsidRDefault="00082936" w:rsidP="00F83493">
      <w:pPr>
        <w:pStyle w:val="Heading2"/>
      </w:pPr>
      <w:r w:rsidRPr="0081146D">
        <w:t>If any guidance in this document is unclear or further explanation is required, please ensure that all clarifications are submitted prior to the deadline.</w:t>
      </w:r>
    </w:p>
    <w:p w:rsidR="00082936" w:rsidRPr="0081146D" w:rsidRDefault="00D123A9" w:rsidP="00082936">
      <w:pPr>
        <w:pStyle w:val="Heading1"/>
      </w:pPr>
      <w:r w:rsidRPr="0081146D">
        <w:t>GENERAL</w:t>
      </w:r>
    </w:p>
    <w:p w:rsidR="00082936" w:rsidRPr="0081146D" w:rsidRDefault="00082936" w:rsidP="00F83493">
      <w:pPr>
        <w:pStyle w:val="Heading2"/>
      </w:pPr>
      <w:r w:rsidRPr="0081146D">
        <w:t>Yellow shaded cells indicate that your input is required. No other cells must be amended.</w:t>
      </w:r>
    </w:p>
    <w:p w:rsidR="00082936" w:rsidRPr="0081146D" w:rsidRDefault="00082936" w:rsidP="00F83493">
      <w:pPr>
        <w:pStyle w:val="Heading2"/>
      </w:pPr>
      <w:r w:rsidRPr="0081146D">
        <w:t>There are prompts and error messages throughout the Price Matrix to highlight where the spreadsheet has not been correctly filled out. The Price Matrix you submit should be error free. If errors are found, the Bid may be deemed as non-compliant and you may no longer be able to continue in this Further Competition process.</w:t>
      </w:r>
    </w:p>
    <w:p w:rsidR="00082936" w:rsidRPr="0081146D" w:rsidRDefault="00082936" w:rsidP="00F83493">
      <w:pPr>
        <w:pStyle w:val="Heading2"/>
      </w:pPr>
      <w:r w:rsidRPr="0081146D">
        <w:t>Green tabs require input and red tabs do not, as these are either pre-populated by the Buyer or contain calculations.</w:t>
      </w:r>
    </w:p>
    <w:p w:rsidR="00082936" w:rsidRPr="0081146D" w:rsidRDefault="00082936" w:rsidP="00F83493">
      <w:pPr>
        <w:pStyle w:val="Heading2"/>
      </w:pPr>
      <w:r w:rsidRPr="0081146D">
        <w:t>It is suggested that you complete the Price Matrix</w:t>
      </w:r>
      <w:r w:rsidR="008F2FCD" w:rsidRPr="0081146D">
        <w:t xml:space="preserve"> from left to right.</w:t>
      </w:r>
    </w:p>
    <w:p w:rsidR="00082936" w:rsidRPr="0081146D" w:rsidRDefault="00082936" w:rsidP="00F83493">
      <w:pPr>
        <w:pStyle w:val="Heading2"/>
      </w:pPr>
      <w:r w:rsidRPr="0081146D">
        <w:t>All costs input in to the Price Matrix should be entered in real terms.</w:t>
      </w:r>
    </w:p>
    <w:p w:rsidR="00082936" w:rsidRPr="0081146D" w:rsidRDefault="00082936" w:rsidP="00F83493">
      <w:pPr>
        <w:pStyle w:val="Heading2"/>
      </w:pPr>
      <w:r w:rsidRPr="0081146D">
        <w:t xml:space="preserve">The maximum rates the Bidder may </w:t>
      </w:r>
      <w:r w:rsidR="008F2FCD" w:rsidRPr="0081146D">
        <w:t>input</w:t>
      </w:r>
      <w:r w:rsidRPr="0081146D">
        <w:t xml:space="preserve"> must not exceed those that they have previously agreed within the Framework Agreement.</w:t>
      </w:r>
    </w:p>
    <w:p w:rsidR="00082936" w:rsidRPr="0081146D" w:rsidRDefault="00082936" w:rsidP="00F83493">
      <w:pPr>
        <w:pStyle w:val="Heading2"/>
      </w:pPr>
      <w:r w:rsidRPr="0081146D">
        <w:t>There are drop down validation lists throughout the Price Matrix. You should choose from these drop down validation lists. You s</w:t>
      </w:r>
      <w:bookmarkStart w:id="0" w:name="_GoBack"/>
      <w:bookmarkEnd w:id="0"/>
      <w:r w:rsidRPr="0081146D">
        <w:t>hould not copy and paste the required selection into</w:t>
      </w:r>
      <w:r w:rsidR="008F2FCD" w:rsidRPr="0081146D">
        <w:t>,</w:t>
      </w:r>
      <w:r w:rsidRPr="0081146D">
        <w:t xml:space="preserve"> or over cells</w:t>
      </w:r>
      <w:r w:rsidR="008F2FCD" w:rsidRPr="0081146D">
        <w:t>,</w:t>
      </w:r>
      <w:r w:rsidRPr="0081146D">
        <w:t xml:space="preserve"> containing these lists.</w:t>
      </w:r>
    </w:p>
    <w:p w:rsidR="008F2FCD" w:rsidRPr="0081146D" w:rsidRDefault="008F2FCD" w:rsidP="008F2FCD">
      <w:pPr>
        <w:pStyle w:val="Heading1"/>
      </w:pPr>
      <w:r w:rsidRPr="0081146D">
        <w:t>COVER SHEET</w:t>
      </w:r>
    </w:p>
    <w:p w:rsidR="008F2FCD" w:rsidRPr="0081146D" w:rsidRDefault="008F2FCD" w:rsidP="00F83493">
      <w:pPr>
        <w:pStyle w:val="Heading2"/>
      </w:pPr>
      <w:r w:rsidRPr="0081146D">
        <w:t>The only cell that require populating on this tab is the ‘Bidder Name’.</w:t>
      </w:r>
    </w:p>
    <w:p w:rsidR="008F2FCD" w:rsidRPr="0081146D" w:rsidRDefault="008F2FCD" w:rsidP="008F2FCD">
      <w:pPr>
        <w:pStyle w:val="Heading1"/>
      </w:pPr>
      <w:r w:rsidRPr="0081146D">
        <w:t>SERVICE MATRIX</w:t>
      </w:r>
    </w:p>
    <w:p w:rsidR="008F2FCD" w:rsidRPr="0081146D" w:rsidRDefault="008F2FCD" w:rsidP="00F83493">
      <w:pPr>
        <w:pStyle w:val="Heading2"/>
      </w:pPr>
      <w:r w:rsidRPr="0081146D">
        <w:t xml:space="preserve">This tab is pre-populated and requires no adjustment or update by the Bidder. The Bidder should note that the buildings and associated details for each, should reconcile with the information provided within the </w:t>
      </w:r>
      <w:r w:rsidR="00470982" w:rsidRPr="0081146D">
        <w:t>‘</w:t>
      </w:r>
      <w:r w:rsidR="00470982" w:rsidRPr="0081146D">
        <w:t>Attachment 3 - Annex B – RM6232 Deliverables Matrix</w:t>
      </w:r>
      <w:r w:rsidR="00470982" w:rsidRPr="0081146D">
        <w:t>’</w:t>
      </w:r>
      <w:r w:rsidRPr="0081146D">
        <w:t xml:space="preserve"> of the supporting Bid Pack.</w:t>
      </w:r>
    </w:p>
    <w:p w:rsidR="00834E73" w:rsidRPr="0081146D" w:rsidRDefault="00834E73" w:rsidP="00834E73">
      <w:pPr>
        <w:pStyle w:val="Heading1"/>
      </w:pPr>
      <w:r w:rsidRPr="0081146D">
        <w:t>PLANNED DELIVERABLES</w:t>
      </w:r>
    </w:p>
    <w:p w:rsidR="008F2FCD" w:rsidRPr="0081146D" w:rsidRDefault="008F2FCD" w:rsidP="00F83493">
      <w:pPr>
        <w:pStyle w:val="Heading2"/>
      </w:pPr>
      <w:r w:rsidRPr="0081146D">
        <w:t>The ‘</w:t>
      </w:r>
      <w:r w:rsidR="00834E73" w:rsidRPr="0081146D">
        <w:t>Planned Deliverable</w:t>
      </w:r>
      <w:r w:rsidRPr="0081146D">
        <w:t xml:space="preserve">s’ tab is where you input </w:t>
      </w:r>
      <w:r w:rsidR="00025CD6" w:rsidRPr="0081146D">
        <w:t>your</w:t>
      </w:r>
      <w:r w:rsidRPr="0081146D">
        <w:t xml:space="preserve"> rates and costs for the </w:t>
      </w:r>
      <w:r w:rsidR="00025CD6" w:rsidRPr="0081146D">
        <w:t xml:space="preserve">required </w:t>
      </w:r>
      <w:r w:rsidRPr="0081146D">
        <w:t>deliverables.</w:t>
      </w:r>
    </w:p>
    <w:p w:rsidR="00025CD6" w:rsidRPr="0081146D" w:rsidRDefault="00025CD6" w:rsidP="00F83493">
      <w:pPr>
        <w:pStyle w:val="Heading2"/>
      </w:pPr>
      <w:r w:rsidRPr="0081146D">
        <w:t>Cells that require an input are coloured yello</w:t>
      </w:r>
      <w:r w:rsidR="00834E73" w:rsidRPr="0081146D">
        <w:t xml:space="preserve">w and will be located in </w:t>
      </w:r>
      <w:r w:rsidRPr="0081146D">
        <w:t xml:space="preserve">the ‘Volume’ </w:t>
      </w:r>
      <w:r w:rsidR="00834E73" w:rsidRPr="0081146D">
        <w:t>and/or ‘Rate</w:t>
      </w:r>
      <w:r w:rsidRPr="0081146D">
        <w:t>’ column.</w:t>
      </w:r>
    </w:p>
    <w:p w:rsidR="008F2FCD" w:rsidRPr="0081146D" w:rsidRDefault="00025CD6" w:rsidP="008F2FCD">
      <w:pPr>
        <w:pStyle w:val="Heading1"/>
      </w:pPr>
      <w:r w:rsidRPr="0081146D">
        <w:t>REACTIVE MAINTENANCE</w:t>
      </w:r>
    </w:p>
    <w:p w:rsidR="00025CD6" w:rsidRPr="0081146D" w:rsidRDefault="00025CD6" w:rsidP="00F83493">
      <w:pPr>
        <w:pStyle w:val="Heading2"/>
      </w:pPr>
      <w:r w:rsidRPr="0081146D">
        <w:t xml:space="preserve">The </w:t>
      </w:r>
      <w:r w:rsidR="0003029E" w:rsidRPr="0081146D">
        <w:t>B</w:t>
      </w:r>
      <w:r w:rsidRPr="0081146D">
        <w:t>uyer will stipulate what</w:t>
      </w:r>
      <w:r w:rsidR="0003029E" w:rsidRPr="0081146D">
        <w:t xml:space="preserve"> Inclusive Repair Threshold</w:t>
      </w:r>
      <w:r w:rsidRPr="0081146D">
        <w:t xml:space="preserve"> </w:t>
      </w:r>
      <w:r w:rsidR="0003029E" w:rsidRPr="0081146D">
        <w:t>(IRT) level they require and this will either be the same value applied across the estate or differ by building.</w:t>
      </w:r>
    </w:p>
    <w:p w:rsidR="0003029E" w:rsidRPr="0081146D" w:rsidRDefault="0003029E" w:rsidP="00F83493">
      <w:pPr>
        <w:pStyle w:val="Heading2"/>
      </w:pPr>
      <w:r w:rsidRPr="0081146D">
        <w:t>The Buyer may also wish to obtain a price for two different (IRT) scenarios.</w:t>
      </w:r>
    </w:p>
    <w:p w:rsidR="00025CD6" w:rsidRPr="0081146D" w:rsidRDefault="00025CD6" w:rsidP="00F83493">
      <w:pPr>
        <w:pStyle w:val="Heading2"/>
      </w:pPr>
      <w:r w:rsidRPr="0081146D">
        <w:t xml:space="preserve">Cells that require an input are coloured yellow and will be located in the ‘Labour’ </w:t>
      </w:r>
      <w:r w:rsidR="00834E73" w:rsidRPr="0081146D">
        <w:t>and</w:t>
      </w:r>
      <w:r w:rsidRPr="0081146D">
        <w:t xml:space="preserve"> ‘Other’ </w:t>
      </w:r>
      <w:r w:rsidR="00834E73" w:rsidRPr="0081146D">
        <w:t>rows</w:t>
      </w:r>
      <w:r w:rsidRPr="0081146D">
        <w:t>.</w:t>
      </w:r>
    </w:p>
    <w:p w:rsidR="00025CD6" w:rsidRPr="0081146D" w:rsidRDefault="00A7072B" w:rsidP="008F2FCD">
      <w:pPr>
        <w:pStyle w:val="Heading1"/>
      </w:pPr>
      <w:r w:rsidRPr="0081146D">
        <w:lastRenderedPageBreak/>
        <w:t>V</w:t>
      </w:r>
      <w:r w:rsidR="00D123A9" w:rsidRPr="0081146D">
        <w:t>A</w:t>
      </w:r>
      <w:r w:rsidRPr="0081146D">
        <w:t>RIABLES</w:t>
      </w:r>
    </w:p>
    <w:p w:rsidR="00A7072B" w:rsidRPr="0081146D" w:rsidRDefault="00907841" w:rsidP="00F83493">
      <w:pPr>
        <w:pStyle w:val="Heading2"/>
      </w:pPr>
      <w:r w:rsidRPr="0081146D">
        <w:t>Yellow cells related to Corporate Overhead and Profit need populating.</w:t>
      </w:r>
    </w:p>
    <w:p w:rsidR="00907841" w:rsidRPr="0081146D" w:rsidRDefault="00907841" w:rsidP="00F83493">
      <w:pPr>
        <w:pStyle w:val="Heading2"/>
      </w:pPr>
      <w:r w:rsidRPr="0081146D">
        <w:t>Cells related to London Location Variance (LLV), CAFM and Helpdesk may also need populating, dependent on the Buyer’s requirement.</w:t>
      </w:r>
    </w:p>
    <w:p w:rsidR="00907841" w:rsidRPr="0081146D" w:rsidRDefault="00907841" w:rsidP="00F83493">
      <w:pPr>
        <w:pStyle w:val="Heading2"/>
      </w:pPr>
      <w:r w:rsidRPr="0081146D">
        <w:t>There is an optional ‘Efficiency Savings’ table where Bidders can discount the planned deliverables value year on year.</w:t>
      </w:r>
    </w:p>
    <w:p w:rsidR="00A7072B" w:rsidRPr="0081146D" w:rsidRDefault="00C74FAB" w:rsidP="008F2FCD">
      <w:pPr>
        <w:pStyle w:val="Heading1"/>
      </w:pPr>
      <w:r w:rsidRPr="0081146D">
        <w:t>MANAGEMENT OVERHEAD</w:t>
      </w:r>
    </w:p>
    <w:p w:rsidR="00C74FAB" w:rsidRPr="0081146D" w:rsidRDefault="00C74FAB" w:rsidP="00F83493">
      <w:pPr>
        <w:pStyle w:val="Heading2"/>
      </w:pPr>
      <w:r w:rsidRPr="0081146D">
        <w:t>There are three table to be populated</w:t>
      </w:r>
      <w:r w:rsidR="000D64DE" w:rsidRPr="0081146D">
        <w:t xml:space="preserve"> where you itemise your overhead costs.</w:t>
      </w:r>
    </w:p>
    <w:p w:rsidR="000D64DE" w:rsidRPr="0081146D" w:rsidRDefault="000D64DE" w:rsidP="00F83493">
      <w:pPr>
        <w:pStyle w:val="Heading2"/>
      </w:pPr>
      <w:r w:rsidRPr="0081146D">
        <w:t>The values you input will be used to calculate a percentage on the ‘Variables’ tab which will be used for compliance purposes against the framework rate.</w:t>
      </w:r>
    </w:p>
    <w:p w:rsidR="00C74FAB" w:rsidRPr="0081146D" w:rsidRDefault="000D64DE" w:rsidP="008F2FCD">
      <w:pPr>
        <w:pStyle w:val="Heading1"/>
      </w:pPr>
      <w:r w:rsidRPr="0081146D">
        <w:t>MOBILISATION</w:t>
      </w:r>
    </w:p>
    <w:p w:rsidR="000D64DE" w:rsidRPr="0081146D" w:rsidRDefault="000D64DE" w:rsidP="00F83493">
      <w:pPr>
        <w:pStyle w:val="Heading2"/>
      </w:pPr>
      <w:r w:rsidRPr="0081146D">
        <w:t>If you wish to include mobilisation costs as part of your bid select ‘Yes’ from the relevant drop down.</w:t>
      </w:r>
    </w:p>
    <w:p w:rsidR="000D64DE" w:rsidRPr="0081146D" w:rsidRDefault="0064203E" w:rsidP="00F83493">
      <w:pPr>
        <w:pStyle w:val="Heading2"/>
      </w:pPr>
      <w:r w:rsidRPr="0081146D">
        <w:t>Populate the relevant table(s) with your itemised costs across the estate.</w:t>
      </w:r>
    </w:p>
    <w:p w:rsidR="0064203E" w:rsidRPr="0081146D" w:rsidRDefault="0064203E" w:rsidP="00F83493">
      <w:pPr>
        <w:pStyle w:val="Heading2"/>
      </w:pPr>
      <w:r w:rsidRPr="0081146D">
        <w:t>The Buyer will stipulate how mobilisation is to be paid for in the ‘Payment Schedule’ table.</w:t>
      </w:r>
    </w:p>
    <w:p w:rsidR="000D64DE" w:rsidRPr="0081146D" w:rsidRDefault="0064203E" w:rsidP="008F2FCD">
      <w:pPr>
        <w:pStyle w:val="Heading1"/>
      </w:pPr>
      <w:r w:rsidRPr="0081146D">
        <w:t>TUPE</w:t>
      </w:r>
    </w:p>
    <w:p w:rsidR="0064203E" w:rsidRPr="0081146D" w:rsidRDefault="0064203E" w:rsidP="00F83493">
      <w:pPr>
        <w:pStyle w:val="Heading2"/>
      </w:pPr>
      <w:r w:rsidRPr="0081146D">
        <w:t>The Buyer will stipulate whether TUPE is applicable to the requirement and which price methodology they are using.</w:t>
      </w:r>
    </w:p>
    <w:p w:rsidR="0064203E" w:rsidRPr="0081146D" w:rsidRDefault="0064203E" w:rsidP="00F83493">
      <w:pPr>
        <w:pStyle w:val="Heading2"/>
      </w:pPr>
      <w:r w:rsidRPr="0081146D">
        <w:t>Based on the Buyer’s prior input the relevant cells to be populated will be coloured yellow.</w:t>
      </w:r>
    </w:p>
    <w:p w:rsidR="0064203E" w:rsidRPr="0081146D" w:rsidRDefault="0064203E" w:rsidP="008F2FCD">
      <w:pPr>
        <w:pStyle w:val="Heading1"/>
      </w:pPr>
      <w:r w:rsidRPr="0081146D">
        <w:t>BILLABLE WORKS</w:t>
      </w:r>
    </w:p>
    <w:p w:rsidR="0064203E" w:rsidRPr="0081146D" w:rsidRDefault="0064203E" w:rsidP="00F83493">
      <w:pPr>
        <w:pStyle w:val="Heading2"/>
      </w:pPr>
      <w:r w:rsidRPr="0081146D">
        <w:t>There are potentially five tables to be populated on this tab, dependent on the Buyer’s requirement.</w:t>
      </w:r>
    </w:p>
    <w:p w:rsidR="0064203E" w:rsidRPr="0081146D" w:rsidRDefault="0064203E" w:rsidP="00F83493">
      <w:pPr>
        <w:pStyle w:val="Heading2"/>
      </w:pPr>
      <w:r w:rsidRPr="0081146D">
        <w:t>All cells that require populating will be coloured yellow.</w:t>
      </w:r>
    </w:p>
    <w:p w:rsidR="0064203E" w:rsidRPr="0081146D" w:rsidRDefault="00AE47B6" w:rsidP="008F2FCD">
      <w:pPr>
        <w:pStyle w:val="Heading1"/>
      </w:pPr>
      <w:r w:rsidRPr="0081146D">
        <w:t>YEAR 1 DELIVERABLES</w:t>
      </w:r>
    </w:p>
    <w:p w:rsidR="00AE47B6" w:rsidRPr="0081146D" w:rsidRDefault="00AE47B6" w:rsidP="00F83493">
      <w:pPr>
        <w:pStyle w:val="Heading2"/>
      </w:pPr>
      <w:r w:rsidRPr="0081146D">
        <w:t xml:space="preserve">The ‘Year 1 Deliverables’ tab is for information purposes only and shows </w:t>
      </w:r>
      <w:r w:rsidR="006202D6" w:rsidRPr="0081146D">
        <w:t>a summarised position of the year 1 costs across the Buyer’s estate, for both reactive maintenance scenarios.</w:t>
      </w:r>
    </w:p>
    <w:p w:rsidR="00AE47B6" w:rsidRPr="0081146D" w:rsidRDefault="006202D6" w:rsidP="008F2FCD">
      <w:pPr>
        <w:pStyle w:val="Heading1"/>
      </w:pPr>
      <w:r w:rsidRPr="0081146D">
        <w:t>TOTAL CHARGES</w:t>
      </w:r>
    </w:p>
    <w:p w:rsidR="006202D6" w:rsidRPr="0081146D" w:rsidRDefault="006202D6" w:rsidP="00F83493">
      <w:pPr>
        <w:pStyle w:val="Heading2"/>
      </w:pPr>
      <w:r w:rsidRPr="0081146D">
        <w:t>The ‘Total Charges’ tab is for information purposes only and shows the final summarised position of the Bidder’s bid.</w:t>
      </w:r>
    </w:p>
    <w:p w:rsidR="006202D6" w:rsidRPr="0081146D" w:rsidRDefault="006202D6" w:rsidP="008F2FCD">
      <w:pPr>
        <w:pStyle w:val="Heading1"/>
      </w:pPr>
      <w:r w:rsidRPr="0081146D">
        <w:t>FRAMEWORK RATES</w:t>
      </w:r>
      <w:r w:rsidR="009031EE" w:rsidRPr="0081146D">
        <w:t xml:space="preserve"> (SERVICES, VARIABLES AND BILLABLE WORKS)</w:t>
      </w:r>
    </w:p>
    <w:p w:rsidR="006202D6" w:rsidRPr="0081146D" w:rsidRDefault="006202D6" w:rsidP="00F83493">
      <w:pPr>
        <w:pStyle w:val="Heading2"/>
      </w:pPr>
      <w:r w:rsidRPr="0081146D">
        <w:t>The three framework rates tabs should be populated with the Bidder’s framework rates</w:t>
      </w:r>
      <w:r w:rsidR="00690595" w:rsidRPr="0081146D">
        <w:t>. These will be used as the basis for compliance checking the bid.</w:t>
      </w:r>
    </w:p>
    <w:p w:rsidR="00834E73" w:rsidRPr="0081146D" w:rsidRDefault="00834E73" w:rsidP="00834E73">
      <w:pPr>
        <w:pStyle w:val="Heading1"/>
      </w:pPr>
      <w:r w:rsidRPr="0081146D">
        <w:t>Price LIST (IRT OPTION 1 AND 2)</w:t>
      </w:r>
    </w:p>
    <w:p w:rsidR="00834E73" w:rsidRPr="0081146D" w:rsidRDefault="00834E73" w:rsidP="00834E73">
      <w:pPr>
        <w:pStyle w:val="Heading2"/>
      </w:pPr>
      <w:r w:rsidRPr="0081146D">
        <w:t xml:space="preserve">The price list tabs are for information purposes only and </w:t>
      </w:r>
      <w:r w:rsidR="00470982" w:rsidRPr="0081146D">
        <w:t>will be extracted to form part of the contract for the successful bidder.</w:t>
      </w:r>
    </w:p>
    <w:p w:rsidR="006202D6" w:rsidRPr="0081146D" w:rsidRDefault="006202D6" w:rsidP="006202D6">
      <w:pPr>
        <w:pStyle w:val="Heading1"/>
      </w:pPr>
      <w:r w:rsidRPr="0081146D">
        <w:t>COMPLIANCE</w:t>
      </w:r>
    </w:p>
    <w:p w:rsidR="006202D6" w:rsidRPr="0081146D" w:rsidRDefault="006202D6" w:rsidP="00F83493">
      <w:pPr>
        <w:pStyle w:val="Heading2"/>
      </w:pPr>
      <w:r w:rsidRPr="0081146D">
        <w:t>The ‘Compliance’</w:t>
      </w:r>
      <w:r w:rsidR="00690595" w:rsidRPr="0081146D">
        <w:t xml:space="preserve"> tab shows whether the bid is compliant or not and identifies the areas where issues occur.</w:t>
      </w:r>
    </w:p>
    <w:p w:rsidR="00F83493" w:rsidRPr="0081146D" w:rsidRDefault="00F83493" w:rsidP="00F83493">
      <w:pPr>
        <w:pStyle w:val="Heading1"/>
      </w:pPr>
      <w:r w:rsidRPr="0081146D">
        <w:lastRenderedPageBreak/>
        <w:t>ANALYSIS</w:t>
      </w:r>
    </w:p>
    <w:p w:rsidR="008F2FCD" w:rsidRPr="0081146D" w:rsidRDefault="00F83493" w:rsidP="00F83493">
      <w:pPr>
        <w:pStyle w:val="Heading2"/>
      </w:pPr>
      <w:r w:rsidRPr="0081146D">
        <w:t>The ‘Analysis’ tab is for information purposes only and provides an analysis of the rates bid to aid Buyer’s with the price evaluation process.</w:t>
      </w:r>
    </w:p>
    <w:sectPr w:rsidR="008F2FCD" w:rsidRPr="008114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3D" w:rsidRDefault="00F3213D" w:rsidP="00082936">
      <w:pPr>
        <w:spacing w:after="0" w:line="240" w:lineRule="auto"/>
      </w:pPr>
      <w:r>
        <w:separator/>
      </w:r>
    </w:p>
  </w:endnote>
  <w:endnote w:type="continuationSeparator" w:id="0">
    <w:p w:rsidR="00F3213D" w:rsidRDefault="00F3213D" w:rsidP="0008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24068"/>
      <w:docPartObj>
        <w:docPartGallery w:val="Page Numbers (Bottom of Page)"/>
        <w:docPartUnique/>
      </w:docPartObj>
    </w:sdtPr>
    <w:sdtEndPr/>
    <w:sdtContent>
      <w:p w:rsidR="00082936" w:rsidRDefault="00082936">
        <w:pPr>
          <w:pStyle w:val="Footer"/>
          <w:jc w:val="right"/>
        </w:pPr>
        <w:r>
          <w:t xml:space="preserve">Page | </w:t>
        </w:r>
        <w:r>
          <w:fldChar w:fldCharType="begin"/>
        </w:r>
        <w:r>
          <w:instrText xml:space="preserve"> PAGE   \* MERGEFORMAT </w:instrText>
        </w:r>
        <w:r>
          <w:fldChar w:fldCharType="separate"/>
        </w:r>
        <w:r w:rsidR="0081146D">
          <w:rPr>
            <w:noProof/>
          </w:rPr>
          <w:t>5</w:t>
        </w:r>
        <w:r>
          <w:rPr>
            <w:noProof/>
          </w:rPr>
          <w:fldChar w:fldCharType="end"/>
        </w:r>
        <w:r>
          <w:t xml:space="preserve"> </w:t>
        </w:r>
      </w:p>
    </w:sdtContent>
  </w:sdt>
  <w:p w:rsidR="00082936" w:rsidRDefault="00082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3D" w:rsidRDefault="00F3213D" w:rsidP="00082936">
      <w:pPr>
        <w:spacing w:after="0" w:line="240" w:lineRule="auto"/>
      </w:pPr>
      <w:r>
        <w:separator/>
      </w:r>
    </w:p>
  </w:footnote>
  <w:footnote w:type="continuationSeparator" w:id="0">
    <w:p w:rsidR="00F3213D" w:rsidRDefault="00F3213D" w:rsidP="00082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4D3"/>
    <w:multiLevelType w:val="multilevel"/>
    <w:tmpl w:val="1C705E74"/>
    <w:lvl w:ilvl="0">
      <w:start w:val="1"/>
      <w:numFmt w:val="decimal"/>
      <w:lvlRestart w:val="0"/>
      <w:pStyle w:val="Heading1"/>
      <w:lvlText w:val="%1."/>
      <w:lvlJc w:val="left"/>
      <w:pPr>
        <w:tabs>
          <w:tab w:val="num" w:pos="737"/>
        </w:tabs>
        <w:ind w:left="737" w:hanging="737"/>
      </w:pPr>
      <w:rPr>
        <w:rFonts w:cs="Times New Roman" w:hint="default"/>
        <w:caps w:val="0"/>
        <w:sz w:val="22"/>
        <w:szCs w:val="22"/>
        <w:effect w:val="none"/>
      </w:rPr>
    </w:lvl>
    <w:lvl w:ilvl="1">
      <w:start w:val="1"/>
      <w:numFmt w:val="decimal"/>
      <w:pStyle w:val="Heading2"/>
      <w:lvlText w:val="%1.%2"/>
      <w:lvlJc w:val="left"/>
      <w:pPr>
        <w:tabs>
          <w:tab w:val="num" w:pos="737"/>
        </w:tabs>
        <w:ind w:left="737" w:hanging="737"/>
      </w:pPr>
      <w:rPr>
        <w:rFonts w:cs="Times New Roman" w:hint="default"/>
        <w:b w:val="0"/>
        <w:i w:val="0"/>
        <w:caps w:val="0"/>
        <w:color w:val="auto"/>
        <w:effect w:val="none"/>
      </w:rPr>
    </w:lvl>
    <w:lvl w:ilvl="2">
      <w:start w:val="1"/>
      <w:numFmt w:val="decimal"/>
      <w:pStyle w:val="Heading3"/>
      <w:lvlText w:val="%1.%2.%3"/>
      <w:lvlJc w:val="left"/>
      <w:pPr>
        <w:tabs>
          <w:tab w:val="num" w:pos="1587"/>
        </w:tabs>
        <w:ind w:left="1587" w:hanging="737"/>
      </w:pPr>
      <w:rPr>
        <w:rFonts w:cs="Times New Roman" w:hint="default"/>
        <w:b w:val="0"/>
        <w:caps w:val="0"/>
        <w:color w:val="auto"/>
        <w:sz w:val="22"/>
        <w:szCs w:val="22"/>
        <w:effect w:val="none"/>
      </w:rPr>
    </w:lvl>
    <w:lvl w:ilvl="3">
      <w:start w:val="1"/>
      <w:numFmt w:val="decimal"/>
      <w:pStyle w:val="Heading4"/>
      <w:lvlText w:val="%1.%2.%3.%4"/>
      <w:lvlJc w:val="left"/>
      <w:pPr>
        <w:tabs>
          <w:tab w:val="num" w:pos="6464"/>
        </w:tabs>
        <w:ind w:left="6464" w:hanging="794"/>
      </w:pPr>
      <w:rPr>
        <w:rFonts w:cs="Times New Roman" w:hint="default"/>
        <w:b w:val="0"/>
        <w:caps w:val="0"/>
        <w:sz w:val="22"/>
        <w:szCs w:val="22"/>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 w15:restartNumberingAfterBreak="0">
    <w:nsid w:val="19E106B2"/>
    <w:multiLevelType w:val="hybridMultilevel"/>
    <w:tmpl w:val="39A28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A41515"/>
    <w:multiLevelType w:val="hybridMultilevel"/>
    <w:tmpl w:val="DB10A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7F"/>
    <w:rsid w:val="00025CD6"/>
    <w:rsid w:val="0003029E"/>
    <w:rsid w:val="00082936"/>
    <w:rsid w:val="000D0A7F"/>
    <w:rsid w:val="000D64DE"/>
    <w:rsid w:val="00256418"/>
    <w:rsid w:val="002A4849"/>
    <w:rsid w:val="00470982"/>
    <w:rsid w:val="004C28FE"/>
    <w:rsid w:val="006202D6"/>
    <w:rsid w:val="0064203E"/>
    <w:rsid w:val="00690595"/>
    <w:rsid w:val="0081146D"/>
    <w:rsid w:val="00834E73"/>
    <w:rsid w:val="00842887"/>
    <w:rsid w:val="008F2FCD"/>
    <w:rsid w:val="009031EE"/>
    <w:rsid w:val="00907841"/>
    <w:rsid w:val="00916AD3"/>
    <w:rsid w:val="00946579"/>
    <w:rsid w:val="00A7072B"/>
    <w:rsid w:val="00AB0B58"/>
    <w:rsid w:val="00AE47B6"/>
    <w:rsid w:val="00B00CA4"/>
    <w:rsid w:val="00C74FAB"/>
    <w:rsid w:val="00D123A9"/>
    <w:rsid w:val="00F3213D"/>
    <w:rsid w:val="00F8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2C98"/>
  <w15:chartTrackingRefBased/>
  <w15:docId w15:val="{3FD62C14-B3AB-4B8E-9605-F3157C4B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autoRedefine/>
    <w:qFormat/>
    <w:rsid w:val="00082936"/>
    <w:pPr>
      <w:keepNext/>
      <w:numPr>
        <w:numId w:val="3"/>
      </w:numPr>
      <w:tabs>
        <w:tab w:val="left" w:pos="851"/>
      </w:tabs>
      <w:adjustRightInd w:val="0"/>
      <w:spacing w:after="120" w:line="240" w:lineRule="auto"/>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autoRedefine/>
    <w:qFormat/>
    <w:rsid w:val="00F83493"/>
    <w:pPr>
      <w:numPr>
        <w:ilvl w:val="1"/>
        <w:numId w:val="3"/>
      </w:numPr>
      <w:tabs>
        <w:tab w:val="left" w:pos="851"/>
      </w:tabs>
      <w:adjustRightInd w:val="0"/>
      <w:spacing w:after="12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autoRedefine/>
    <w:qFormat/>
    <w:rsid w:val="00082936"/>
    <w:pPr>
      <w:numPr>
        <w:ilvl w:val="2"/>
        <w:numId w:val="3"/>
      </w:numPr>
      <w:tabs>
        <w:tab w:val="left" w:pos="1418"/>
      </w:tabs>
      <w:adjustRightInd w:val="0"/>
      <w:spacing w:after="120" w:line="240" w:lineRule="auto"/>
      <w:jc w:val="both"/>
      <w:outlineLvl w:val="2"/>
    </w:pPr>
    <w:rPr>
      <w:rFonts w:ascii="Arial" w:eastAsia="STZhongsong" w:hAnsi="Arial" w:cs="Times New Roman"/>
      <w:color w:val="FF0000"/>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082936"/>
    <w:pPr>
      <w:numPr>
        <w:ilvl w:val="3"/>
        <w:numId w:val="3"/>
      </w:numPr>
      <w:adjustRightInd w:val="0"/>
      <w:spacing w:after="120" w:line="240" w:lineRule="auto"/>
      <w:jc w:val="both"/>
      <w:outlineLvl w:val="3"/>
    </w:pPr>
    <w:rPr>
      <w:rFonts w:ascii="Arial" w:eastAsia="STZhongsong" w:hAnsi="Arial"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79"/>
    <w:pPr>
      <w:ind w:left="720"/>
      <w:contextualSpacing/>
    </w:pPr>
  </w:style>
  <w:style w:type="paragraph" w:styleId="Header">
    <w:name w:val="header"/>
    <w:basedOn w:val="Normal"/>
    <w:link w:val="HeaderChar"/>
    <w:uiPriority w:val="99"/>
    <w:unhideWhenUsed/>
    <w:rsid w:val="00082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936"/>
  </w:style>
  <w:style w:type="paragraph" w:styleId="Footer">
    <w:name w:val="footer"/>
    <w:basedOn w:val="Normal"/>
    <w:link w:val="FooterChar"/>
    <w:uiPriority w:val="99"/>
    <w:unhideWhenUsed/>
    <w:rsid w:val="00082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93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082936"/>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F83493"/>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082936"/>
    <w:rPr>
      <w:rFonts w:ascii="Arial" w:eastAsia="STZhongsong" w:hAnsi="Arial" w:cs="Times New Roman"/>
      <w:color w:val="FF000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082936"/>
    <w:rPr>
      <w:rFonts w:ascii="Arial" w:eastAsia="STZhongsong"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17843">
      <w:bodyDiv w:val="1"/>
      <w:marLeft w:val="0"/>
      <w:marRight w:val="0"/>
      <w:marTop w:val="0"/>
      <w:marBottom w:val="0"/>
      <w:divBdr>
        <w:top w:val="none" w:sz="0" w:space="0" w:color="auto"/>
        <w:left w:val="none" w:sz="0" w:space="0" w:color="auto"/>
        <w:bottom w:val="none" w:sz="0" w:space="0" w:color="auto"/>
        <w:right w:val="none" w:sz="0" w:space="0" w:color="auto"/>
      </w:divBdr>
    </w:div>
    <w:div w:id="14457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Critchley</dc:creator>
  <cp:keywords/>
  <dc:description/>
  <cp:lastModifiedBy>Michael Critchley</cp:lastModifiedBy>
  <cp:revision>7</cp:revision>
  <dcterms:created xsi:type="dcterms:W3CDTF">2022-06-13T23:10:00Z</dcterms:created>
  <dcterms:modified xsi:type="dcterms:W3CDTF">2022-07-03T21:15:00Z</dcterms:modified>
</cp:coreProperties>
</file>