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bookmarkStart w:colFirst="0" w:colLast="0" w:name="_heading=h.3fwokq0" w:id="0"/>
      <w:bookmarkEnd w:id="0"/>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24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Call-Off Schedule 10 (Exit Management)</w:t>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mallCaps w:val="1"/>
          <w:color w:val="000000"/>
          <w:sz w:val="24"/>
          <w:szCs w:val="24"/>
        </w:rPr>
      </w:pPr>
      <w:bookmarkStart w:colFirst="0" w:colLast="0" w:name="_heading=h.vx1227" w:id="1"/>
      <w:bookmarkEnd w:id="1"/>
      <w:r w:rsidDel="00000000" w:rsidR="00000000" w:rsidRPr="00000000">
        <w:rPr>
          <w:rFonts w:ascii="Arial" w:cs="Arial" w:eastAsia="Arial" w:hAnsi="Arial"/>
          <w:b w:val="1"/>
          <w:color w:val="000000"/>
          <w:sz w:val="24"/>
          <w:szCs w:val="24"/>
          <w:rtl w:val="0"/>
        </w:rPr>
        <w:t xml:space="preserve">Definitions</w:t>
      </w:r>
      <w:r w:rsidDel="00000000" w:rsidR="00000000" w:rsidRPr="00000000">
        <w:rPr>
          <w:rtl w:val="0"/>
        </w:rPr>
      </w:r>
    </w:p>
    <w:p w:rsidR="00000000" w:rsidDel="00000000" w:rsidP="00000000" w:rsidRDefault="00000000" w:rsidRPr="00000000" w14:paraId="00000004">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p>
    <w:tbl>
      <w:tblPr>
        <w:tblStyle w:val="Table1"/>
        <w:tblW w:w="7988.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4928"/>
        <w:tblGridChange w:id="0">
          <w:tblGrid>
            <w:gridCol w:w="3060"/>
            <w:gridCol w:w="4928"/>
          </w:tblGrid>
        </w:tblGridChange>
      </w:tblGrid>
      <w:tr>
        <w:trPr>
          <w:cantSplit w:val="0"/>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"Exclusive Assets"</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Assets used exclusively by the Supplier [</w:t>
            </w:r>
            <w:r w:rsidDel="00000000" w:rsidR="00000000" w:rsidRPr="00000000">
              <w:rPr>
                <w:rFonts w:ascii="Arial" w:cs="Arial" w:eastAsia="Arial" w:hAnsi="Arial"/>
                <w:color w:val="000000"/>
                <w:sz w:val="24"/>
                <w:szCs w:val="24"/>
                <w:highlight w:val="yellow"/>
                <w:rtl w:val="0"/>
              </w:rPr>
              <w:t xml:space="preserve">or a Key Subcontractor</w:t>
            </w:r>
            <w:r w:rsidDel="00000000" w:rsidR="00000000" w:rsidRPr="00000000">
              <w:rPr>
                <w:rFonts w:ascii="Arial" w:cs="Arial" w:eastAsia="Arial" w:hAnsi="Arial"/>
                <w:color w:val="000000"/>
                <w:sz w:val="24"/>
                <w:szCs w:val="24"/>
                <w:rtl w:val="0"/>
              </w:rPr>
              <w:t xml:space="preserve">] in the provision of the Deliverables;</w:t>
            </w:r>
          </w:p>
        </w:tc>
      </w:tr>
      <w:tr>
        <w:trPr>
          <w:cantSplit w:val="0"/>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Information"</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relating to Exit including but not limited to Asset data, Service data, Contract data, statutory compliance data and certification and TUPE Information data</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Manager"</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appointed by each Party to manage their respective obligations under this Schedule;</w:t>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Plan”</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9"/>
              </w:tabs>
              <w:spacing w:after="12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plan produced and updated by the Supplier during the Initial Period in accordance with Paragraph 4 of this Schedule;</w:t>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Book Value"</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"Non-Exclusive Assets"</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Supplier Assets used by the Supplier [</w:t>
            </w:r>
            <w:r w:rsidDel="00000000" w:rsidR="00000000" w:rsidRPr="00000000">
              <w:rPr>
                <w:rFonts w:ascii="Arial" w:cs="Arial" w:eastAsia="Arial" w:hAnsi="Arial"/>
                <w:color w:val="000000"/>
                <w:sz w:val="24"/>
                <w:szCs w:val="24"/>
                <w:highlight w:val="yellow"/>
                <w:rtl w:val="0"/>
              </w:rPr>
              <w:t xml:space="preserve">or a Key Subcontractor</w:t>
            </w:r>
            <w:r w:rsidDel="00000000" w:rsidR="00000000" w:rsidRPr="00000000">
              <w:rPr>
                <w:rFonts w:ascii="Arial" w:cs="Arial" w:eastAsia="Arial" w:hAnsi="Arial"/>
                <w:color w:val="000000"/>
                <w:sz w:val="24"/>
                <w:szCs w:val="24"/>
                <w:rtl w:val="0"/>
              </w:rPr>
              <w:t xml:space="preserve">] in connection with the Deliverables but which are also used by the Supplier </w:t>
            </w:r>
            <w:r w:rsidDel="00000000" w:rsidR="00000000" w:rsidRPr="00000000">
              <w:rPr>
                <w:rFonts w:ascii="Arial" w:cs="Arial" w:eastAsia="Arial" w:hAnsi="Arial"/>
                <w:color w:val="000000"/>
                <w:sz w:val="24"/>
                <w:szCs w:val="24"/>
                <w:highlight w:val="yellow"/>
                <w:rtl w:val="0"/>
              </w:rPr>
              <w:t xml:space="preserve">[or Key Subcontractor]</w:t>
            </w:r>
            <w:r w:rsidDel="00000000" w:rsidR="00000000" w:rsidRPr="00000000">
              <w:rPr>
                <w:rFonts w:ascii="Arial" w:cs="Arial" w:eastAsia="Arial" w:hAnsi="Arial"/>
                <w:color w:val="000000"/>
                <w:sz w:val="24"/>
                <w:szCs w:val="24"/>
                <w:rtl w:val="0"/>
              </w:rPr>
              <w:t xml:space="preserve"> for other purposes;</w:t>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"Registers"</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register and configuration database referred to in Paragraph 2.2 of this Schedule; </w:t>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Goods"</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goods which are substantially similar to any of the Goods and which the Buyer receives in substitution for any of the Goods following the End Date, whether those goods are provided by the Buyer internally and/or by any third party;</w:t>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w:t>
            </w:r>
            <w:r w:rsidDel="00000000" w:rsidR="00000000" w:rsidRPr="00000000">
              <w:rPr>
                <w:rFonts w:ascii="Arial" w:cs="Arial" w:eastAsia="Arial" w:hAnsi="Arial"/>
                <w:b w:val="1"/>
                <w:sz w:val="24"/>
                <w:szCs w:val="24"/>
                <w:rtl w:val="0"/>
              </w:rPr>
              <w:t xml:space="preserve">me</w:t>
            </w:r>
            <w:r w:rsidDel="00000000" w:rsidR="00000000" w:rsidRPr="00000000">
              <w:rPr>
                <w:rFonts w:ascii="Arial" w:cs="Arial" w:eastAsia="Arial" w:hAnsi="Arial"/>
                <w:b w:val="1"/>
                <w:color w:val="000000"/>
                <w:sz w:val="24"/>
                <w:szCs w:val="24"/>
                <w:rtl w:val="0"/>
              </w:rPr>
              <w:t xml:space="preserve">nt Services"</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services which are substantially similar to any of the Services and which the Buyer receives in substitution for any of the Services following the End Date, whether those goods are provided by the Buyer internally and/or by any third party;</w:t>
            </w:r>
          </w:p>
        </w:tc>
      </w:tr>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activities to be performed by the Supplier pursuant to the Exit Plan, and other assistance required by the Buyer pursuant to the Termination Assistance Notice;</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 Notice"</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5.1 of this Schedule;</w:t>
            </w:r>
          </w:p>
        </w:tc>
      </w:tr>
      <w:tr>
        <w:trPr>
          <w:cantSplit w:val="0"/>
          <w:tblHeader w:val="0"/>
        </w:trPr>
        <w:tc>
          <w:tcPr/>
          <w:p w:rsidR="00000000" w:rsidDel="00000000" w:rsidP="00000000" w:rsidRDefault="00000000" w:rsidRPr="00000000" w14:paraId="0000001B">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 Period"</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period specified in a Termination Assistance Notice for which the Supplier is required to provide the Termination Assistance as such period may be extended pursuant to Paragraph 5.2 of this Schedule;</w:t>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"Transferable Assets"</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Exclusive Assets which are capable of legal transfer to the Buyer;</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"Transferable Contracts"</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Assets"</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8.2.1 of this Schedule;</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Contracts"</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9"/>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8.2.3 of this Schedule.</w:t>
            </w:r>
          </w:p>
        </w:tc>
      </w:tr>
    </w:tbl>
    <w:p w:rsidR="00000000" w:rsidDel="00000000" w:rsidP="00000000" w:rsidRDefault="00000000" w:rsidRPr="00000000" w14:paraId="00000026">
      <w:pPr>
        <w:keepNext w:val="1"/>
        <w:pBdr>
          <w:top w:space="0" w:sz="0" w:val="nil"/>
          <w:left w:space="0" w:sz="0" w:val="nil"/>
          <w:bottom w:space="0" w:sz="0" w:val="nil"/>
          <w:right w:space="0" w:sz="0" w:val="nil"/>
          <w:between w:space="0" w:sz="0" w:val="nil"/>
        </w:pBdr>
        <w:tabs>
          <w:tab w:val="left" w:pos="0"/>
        </w:tabs>
        <w:spacing w:after="240" w:before="240" w:line="240" w:lineRule="auto"/>
        <w:ind w:left="644"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Supplier must always be prepared for contract exit </w:t>
      </w:r>
      <w:r w:rsidDel="00000000" w:rsidR="00000000" w:rsidRPr="00000000">
        <w:rPr>
          <w:rtl w:val="0"/>
        </w:rPr>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120" w:before="120" w:line="240" w:lineRule="auto"/>
        <w:ind w:left="708" w:hanging="708"/>
        <w:rPr>
          <w:rFonts w:ascii="Arial" w:cs="Arial" w:eastAsia="Arial" w:hAnsi="Arial"/>
          <w:color w:val="000000"/>
          <w:sz w:val="24"/>
          <w:szCs w:val="24"/>
        </w:rPr>
      </w:pPr>
      <w:bookmarkStart w:colFirst="0" w:colLast="0" w:name="_heading=h.gjdgxs" w:id="2"/>
      <w:bookmarkEnd w:id="2"/>
      <w:r w:rsidDel="00000000" w:rsidR="00000000" w:rsidRPr="00000000">
        <w:rPr>
          <w:rFonts w:ascii="Arial" w:cs="Arial" w:eastAsia="Arial" w:hAnsi="Arial"/>
          <w:color w:val="000000"/>
          <w:sz w:val="24"/>
          <w:szCs w:val="24"/>
          <w:rtl w:val="0"/>
        </w:rPr>
        <w:t xml:space="preserve">The Supplier shall within 30 days from the Start Date provide to the Buyer a copy of its depreciation policy to be used for the purposes of calculating Net Book Value.</w:t>
      </w:r>
    </w:p>
    <w:p w:rsidR="00000000" w:rsidDel="00000000" w:rsidP="00000000" w:rsidRDefault="00000000" w:rsidRPr="00000000" w14:paraId="00000029">
      <w:pPr>
        <w:keepNext w:val="1"/>
        <w:numPr>
          <w:ilvl w:val="1"/>
          <w:numId w:val="1"/>
        </w:numPr>
        <w:pBdr>
          <w:top w:space="0" w:sz="0" w:val="nil"/>
          <w:left w:space="0" w:sz="0" w:val="nil"/>
          <w:bottom w:space="0" w:sz="0" w:val="nil"/>
          <w:right w:space="0" w:sz="0" w:val="nil"/>
          <w:between w:space="0" w:sz="0" w:val="nil"/>
        </w:pBdr>
        <w:spacing w:after="120" w:before="120" w:line="240" w:lineRule="auto"/>
        <w:ind w:left="708" w:hanging="708"/>
        <w:rPr>
          <w:rFonts w:ascii="Arial" w:cs="Arial" w:eastAsia="Arial" w:hAnsi="Arial"/>
          <w:color w:val="000000"/>
          <w:sz w:val="24"/>
          <w:szCs w:val="24"/>
        </w:rPr>
      </w:pPr>
      <w:bookmarkStart w:colFirst="0" w:colLast="0" w:name="_heading=h.30j0zll" w:id="3"/>
      <w:bookmarkEnd w:id="3"/>
      <w:r w:rsidDel="00000000" w:rsidR="00000000" w:rsidRPr="00000000">
        <w:rPr>
          <w:rFonts w:ascii="Arial" w:cs="Arial" w:eastAsia="Arial" w:hAnsi="Arial"/>
          <w:color w:val="000000"/>
          <w:sz w:val="24"/>
          <w:szCs w:val="24"/>
          <w:rtl w:val="0"/>
        </w:rPr>
        <w:t xml:space="preserve">During the Contract Period, the Supplier shall promptly:</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1fob9te" w:id="4"/>
      <w:bookmarkEnd w:id="4"/>
      <w:r w:rsidDel="00000000" w:rsidR="00000000" w:rsidRPr="00000000">
        <w:rPr>
          <w:rFonts w:ascii="Arial" w:cs="Arial" w:eastAsia="Arial" w:hAnsi="Arial"/>
          <w:color w:val="000000"/>
          <w:sz w:val="24"/>
          <w:szCs w:val="24"/>
          <w:rtl w:val="0"/>
        </w:rPr>
        <w:t xml:space="preserve">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3znysh7" w:id="5"/>
      <w:bookmarkEnd w:id="5"/>
      <w:r w:rsidDel="00000000" w:rsidR="00000000" w:rsidRPr="00000000">
        <w:rPr>
          <w:rFonts w:ascii="Arial" w:cs="Arial" w:eastAsia="Arial" w:hAnsi="Arial"/>
          <w:color w:val="000000"/>
          <w:sz w:val="24"/>
          <w:szCs w:val="24"/>
          <w:rtl w:val="0"/>
        </w:rPr>
        <w:t xml:space="preserve">create and maintain a configuration database detailing the technical infrastructure and operating procedures through which the Supplier provides the Deliverables ("</w:t>
      </w:r>
      <w:r w:rsidDel="00000000" w:rsidR="00000000" w:rsidRPr="00000000">
        <w:rPr>
          <w:rFonts w:ascii="Arial" w:cs="Arial" w:eastAsia="Arial" w:hAnsi="Arial"/>
          <w:b w:val="1"/>
          <w:color w:val="000000"/>
          <w:sz w:val="24"/>
          <w:szCs w:val="24"/>
          <w:rtl w:val="0"/>
        </w:rPr>
        <w:t xml:space="preserve">Registers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C">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ensure that all Exclusive Assets listed in the Registers are clearly physically identified as such; and</w:t>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2et92p0" w:id="6"/>
      <w:bookmarkEnd w:id="6"/>
      <w:r w:rsidDel="00000000" w:rsidR="00000000" w:rsidRPr="00000000">
        <w:rPr>
          <w:rFonts w:ascii="Arial" w:cs="Arial" w:eastAsia="Arial" w:hAnsi="Arial"/>
          <w:color w:val="000000"/>
          <w:sz w:val="24"/>
          <w:szCs w:val="24"/>
          <w:rtl w:val="0"/>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tyjcwt" w:id="7"/>
      <w:bookmarkEnd w:id="7"/>
      <w:r w:rsidDel="00000000" w:rsidR="00000000" w:rsidRPr="00000000">
        <w:rPr>
          <w:rFonts w:ascii="Arial" w:cs="Arial" w:eastAsia="Arial" w:hAnsi="Arial"/>
          <w:color w:val="000000"/>
          <w:sz w:val="24"/>
          <w:szCs w:val="24"/>
          <w:rtl w:val="0"/>
        </w:rPr>
        <w:t xml:space="preserve">Each Party shall appoint an Exit Manager within three (3) Months of the Start Date. The Parties' Exit Managers will liaise with one another in relation to all issues relevant to the expiry or termination of this Contract.</w:t>
      </w:r>
    </w:p>
    <w:p w:rsidR="00000000" w:rsidDel="00000000" w:rsidP="00000000" w:rsidRDefault="00000000" w:rsidRPr="00000000" w14:paraId="00000030">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Assisting re-competition for Deliverables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dy6vkm" w:id="8"/>
      <w:bookmarkEnd w:id="8"/>
      <w:r w:rsidDel="00000000" w:rsidR="00000000" w:rsidRPr="00000000">
        <w:rPr>
          <w:rFonts w:ascii="Arial" w:cs="Arial" w:eastAsia="Arial" w:hAnsi="Arial"/>
          <w:color w:val="000000"/>
          <w:sz w:val="24"/>
          <w:szCs w:val="24"/>
          <w:rtl w:val="0"/>
        </w:rPr>
        <w:t xml:space="preserve">The Supplier shall within [30] days of request provide to the Buyer and/or its potential Replacement Suppliers (subject to the potential Replacement Suppliers entering into reasonable written confidentiality undertakings), Exit Information in the format that the Buyer requests for any reason including facilitating the preparation by the Buyer of any invitation to tender and/or to facilitate any potential Replacement Suppliers undertaking due diligence (the "</w:t>
      </w:r>
      <w:r w:rsidDel="00000000" w:rsidR="00000000" w:rsidRPr="00000000">
        <w:rPr>
          <w:rFonts w:ascii="Arial" w:cs="Arial" w:eastAsia="Arial" w:hAnsi="Arial"/>
          <w:b w:val="1"/>
          <w:color w:val="000000"/>
          <w:sz w:val="24"/>
          <w:szCs w:val="24"/>
          <w:rtl w:val="0"/>
        </w:rPr>
        <w:t xml:space="preserve">Exit Information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t3h5sf" w:id="9"/>
      <w:bookmarkEnd w:id="9"/>
      <w:r w:rsidDel="00000000" w:rsidR="00000000" w:rsidRPr="00000000">
        <w:rPr>
          <w:rFonts w:ascii="Arial" w:cs="Arial" w:eastAsia="Arial" w:hAnsi="Arial"/>
          <w:color w:val="000000"/>
          <w:sz w:val="24"/>
          <w:szCs w:val="24"/>
          <w:rtl w:val="0"/>
        </w:rPr>
        <w:t xml:space="preserve">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Exit Information shall be accurate and complete in all material respects and shall be sufficient to enable a third party to prepare an informed offer for those Deliverables; and not be disadvantaged in any procurement process compared to the Supplier.</w:t>
      </w:r>
    </w:p>
    <w:p w:rsidR="00000000" w:rsidDel="00000000" w:rsidP="00000000" w:rsidRDefault="00000000" w:rsidRPr="00000000" w14:paraId="00000035">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Plan</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4d34og8" w:id="10"/>
      <w:bookmarkEnd w:id="10"/>
      <w:r w:rsidDel="00000000" w:rsidR="00000000" w:rsidRPr="00000000">
        <w:rPr>
          <w:rFonts w:ascii="Arial" w:cs="Arial" w:eastAsia="Arial" w:hAnsi="Arial"/>
          <w:color w:val="000000"/>
          <w:sz w:val="24"/>
          <w:szCs w:val="24"/>
          <w:rtl w:val="0"/>
        </w:rPr>
        <w:t xml:space="preserve">The Supplier shall, within three (3) Months after the Start Date, deliver to the Buyer an Exit Plan which complies with the requirements set out in Paragraph 4.3 of this Schedule and is otherwise reasonably satisfactory to the Buyer.</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s8eyo1" w:id="11"/>
      <w:bookmarkEnd w:id="11"/>
      <w:r w:rsidDel="00000000" w:rsidR="00000000" w:rsidRPr="00000000">
        <w:rPr>
          <w:rFonts w:ascii="Arial" w:cs="Arial" w:eastAsia="Arial" w:hAnsi="Arial"/>
          <w:color w:val="000000"/>
          <w:sz w:val="24"/>
          <w:szCs w:val="24"/>
          <w:rtl w:val="0"/>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000000" w:rsidDel="00000000" w:rsidP="00000000" w:rsidRDefault="00000000" w:rsidRPr="00000000" w14:paraId="00000038">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7dp8vu" w:id="12"/>
      <w:bookmarkEnd w:id="12"/>
      <w:r w:rsidDel="00000000" w:rsidR="00000000" w:rsidRPr="00000000">
        <w:rPr>
          <w:rFonts w:ascii="Arial" w:cs="Arial" w:eastAsia="Arial" w:hAnsi="Arial"/>
          <w:color w:val="000000"/>
          <w:sz w:val="24"/>
          <w:szCs w:val="24"/>
          <w:rtl w:val="0"/>
        </w:rPr>
        <w:t xml:space="preserve">The Exit Plan shall set out, as a minimum:</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detailed description of both the transfer and cessation processes, including a timetable; </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the Deliverables will transfer to the Replacement Supplier and/or the Buyer;</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any contracts which will be available for transfer to the Buyer and/or the Replacement Supplier upon the Expiry Date together with any reasonable costs required to effect such transfer;</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the training of key members of the Replacement Supplier’s staff in connection with the continuation of the provision of the Deliverables following the Expiry Date;</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providing the Buyer or a Replacement Supplier copies of all documentation relating to the use and operation of the Deliverables and required for their continued use; </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the assignment or novation of all services utilised by the Supplier in connection with the supply of the Deliverables;</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the identification and return of all Buyer Property in the possession of and/or control of the Supplier or any third party;</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proposals for the disposal of any redundant Deliverables and materials;</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the Supplier will ensure that there is no disruption to or degradation of the Deliverables during the Termination Assistance Period; and</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or assistance reasonably required by the Buyer or a Replacement Supplier</w:t>
      </w:r>
      <w:r w:rsidDel="00000000" w:rsidR="00000000" w:rsidRPr="00000000">
        <w:rPr>
          <w:rFonts w:ascii="Arial" w:cs="Arial" w:eastAsia="Arial" w:hAnsi="Arial"/>
          <w:sz w:val="24"/>
          <w:szCs w:val="24"/>
          <w:rtl w:val="0"/>
        </w:rPr>
        <w:t xml:space="preserve">, inline with the provisions set out in the Core Terms clause 9 and 14.</w:t>
      </w:r>
      <w:r w:rsidDel="00000000" w:rsidR="00000000" w:rsidRPr="00000000">
        <w:rPr>
          <w:rtl w:val="0"/>
        </w:rPr>
      </w:r>
    </w:p>
    <w:p w:rsidR="00000000" w:rsidDel="00000000" w:rsidP="00000000" w:rsidRDefault="00000000" w:rsidRPr="00000000" w14:paraId="00000043">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rdcrjn" w:id="13"/>
      <w:bookmarkEnd w:id="13"/>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44">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 and update the Exit Plan (and risk management plan) no less frequently than: </w:t>
      </w:r>
    </w:p>
    <w:p w:rsidR="00000000" w:rsidDel="00000000" w:rsidP="00000000" w:rsidRDefault="00000000" w:rsidRPr="00000000" w14:paraId="00000045">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 </w:t>
      </w:r>
      <w:r w:rsidDel="00000000" w:rsidR="00000000" w:rsidRPr="00000000">
        <w:rPr>
          <w:rFonts w:ascii="Arial" w:cs="Arial" w:eastAsia="Arial" w:hAnsi="Arial"/>
          <w:color w:val="000000"/>
          <w:sz w:val="24"/>
          <w:szCs w:val="24"/>
          <w:highlight w:val="yellow"/>
          <w:rtl w:val="0"/>
        </w:rPr>
        <w:t xml:space="preserve">[six (6) months]</w:t>
      </w:r>
      <w:r w:rsidDel="00000000" w:rsidR="00000000" w:rsidRPr="00000000">
        <w:rPr>
          <w:rFonts w:ascii="Arial" w:cs="Arial" w:eastAsia="Arial" w:hAnsi="Arial"/>
          <w:color w:val="000000"/>
          <w:sz w:val="24"/>
          <w:szCs w:val="24"/>
          <w:rtl w:val="0"/>
        </w:rPr>
        <w:t xml:space="preserve"> throughout the Contract Period; and</w:t>
      </w:r>
    </w:p>
    <w:p w:rsidR="00000000" w:rsidDel="00000000" w:rsidP="00000000" w:rsidRDefault="00000000" w:rsidRPr="00000000" w14:paraId="00000046">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bookmarkStart w:colFirst="0" w:colLast="0" w:name="_heading=h.26in1rg" w:id="14"/>
      <w:bookmarkEnd w:id="14"/>
      <w:r w:rsidDel="00000000" w:rsidR="00000000" w:rsidRPr="00000000">
        <w:rPr>
          <w:rFonts w:ascii="Arial" w:cs="Arial" w:eastAsia="Arial" w:hAnsi="Arial"/>
          <w:color w:val="000000"/>
          <w:sz w:val="24"/>
          <w:szCs w:val="24"/>
          <w:rtl w:val="0"/>
        </w:rPr>
        <w:t xml:space="preserve">no later than [</w:t>
      </w:r>
      <w:r w:rsidDel="00000000" w:rsidR="00000000" w:rsidRPr="00000000">
        <w:rPr>
          <w:rFonts w:ascii="Arial" w:cs="Arial" w:eastAsia="Arial" w:hAnsi="Arial"/>
          <w:color w:val="000000"/>
          <w:sz w:val="24"/>
          <w:szCs w:val="24"/>
          <w:highlight w:val="yellow"/>
          <w:rtl w:val="0"/>
        </w:rPr>
        <w:t xml:space="preserve">twenty (20) Working Days</w:t>
      </w:r>
      <w:r w:rsidDel="00000000" w:rsidR="00000000" w:rsidRPr="00000000">
        <w:rPr>
          <w:rFonts w:ascii="Arial" w:cs="Arial" w:eastAsia="Arial" w:hAnsi="Arial"/>
          <w:color w:val="000000"/>
          <w:sz w:val="24"/>
          <w:szCs w:val="24"/>
          <w:rtl w:val="0"/>
        </w:rPr>
        <w:t xml:space="preserve">] after a request from the Buyer for an up-to-date copy of the Exit Plan; </w:t>
      </w:r>
    </w:p>
    <w:p w:rsidR="00000000" w:rsidDel="00000000" w:rsidP="00000000" w:rsidRDefault="00000000" w:rsidRPr="00000000" w14:paraId="00000047">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soon as reasonably possible following a Termination Assistance Notice, and in any event no later than [</w:t>
      </w:r>
      <w:r w:rsidDel="00000000" w:rsidR="00000000" w:rsidRPr="00000000">
        <w:rPr>
          <w:rFonts w:ascii="Arial" w:cs="Arial" w:eastAsia="Arial" w:hAnsi="Arial"/>
          <w:color w:val="000000"/>
          <w:sz w:val="24"/>
          <w:szCs w:val="24"/>
          <w:highlight w:val="yellow"/>
          <w:rtl w:val="0"/>
        </w:rPr>
        <w:t xml:space="preserve">ten (10) Working Days]</w:t>
      </w:r>
      <w:r w:rsidDel="00000000" w:rsidR="00000000" w:rsidRPr="00000000">
        <w:rPr>
          <w:rFonts w:ascii="Arial" w:cs="Arial" w:eastAsia="Arial" w:hAnsi="Arial"/>
          <w:color w:val="000000"/>
          <w:sz w:val="24"/>
          <w:szCs w:val="24"/>
          <w:rtl w:val="0"/>
        </w:rPr>
        <w:t xml:space="preserve"> after the date of the Termination Assistance Notice;</w:t>
      </w:r>
    </w:p>
    <w:p w:rsidR="00000000" w:rsidDel="00000000" w:rsidP="00000000" w:rsidRDefault="00000000" w:rsidRPr="00000000" w14:paraId="00000048">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soon as reasonably possible following, and in any event no later than [</w:t>
      </w:r>
      <w:r w:rsidDel="00000000" w:rsidR="00000000" w:rsidRPr="00000000">
        <w:rPr>
          <w:rFonts w:ascii="Arial" w:cs="Arial" w:eastAsia="Arial" w:hAnsi="Arial"/>
          <w:color w:val="000000"/>
          <w:sz w:val="24"/>
          <w:szCs w:val="24"/>
          <w:highlight w:val="yellow"/>
          <w:rtl w:val="0"/>
        </w:rPr>
        <w:t xml:space="preserve">twenty (20) Working Days</w:t>
      </w:r>
      <w:r w:rsidDel="00000000" w:rsidR="00000000" w:rsidRPr="00000000">
        <w:rPr>
          <w:rFonts w:ascii="Arial" w:cs="Arial" w:eastAsia="Arial" w:hAnsi="Arial"/>
          <w:color w:val="000000"/>
          <w:sz w:val="24"/>
          <w:szCs w:val="24"/>
          <w:rtl w:val="0"/>
        </w:rPr>
        <w:t xml:space="preserve">] following, any material change to the Deliverables (including all changes under the Variation Procedure); and  </w:t>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jointly review and verify the Exit Plan if required by the Buyer and promptly correct any identified failures.</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if (by notification to the Supplier in writing) the Buyer agrees with a draft Exit Plan provided by the Supplier under Paragraph 4.2 or 4.4 (as the context requires), shall that draft become the Exit Plan for this Contract.  </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version of an Exit Plan agreed between the parties shall not be superseded by any draft submitted by the Supplier.</w:t>
      </w:r>
    </w:p>
    <w:p w:rsidR="00000000" w:rsidDel="00000000" w:rsidP="00000000" w:rsidRDefault="00000000" w:rsidRPr="00000000" w14:paraId="0000004C">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 </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lnxbz9" w:id="15"/>
      <w:bookmarkEnd w:id="15"/>
      <w:r w:rsidDel="00000000" w:rsidR="00000000" w:rsidRPr="00000000">
        <w:rPr>
          <w:rFonts w:ascii="Arial" w:cs="Arial" w:eastAsia="Arial" w:hAnsi="Arial"/>
          <w:color w:val="000000"/>
          <w:sz w:val="24"/>
          <w:szCs w:val="24"/>
          <w:rtl w:val="0"/>
        </w:rPr>
        <w:t xml:space="preserve">The Buyer shall be entitled to require the provision of Termination Assistance at any time during the Contract Period by giving written notice to the Supplier (a </w:t>
      </w:r>
      <w:r w:rsidDel="00000000" w:rsidR="00000000" w:rsidRPr="00000000">
        <w:rPr>
          <w:rFonts w:ascii="Arial" w:cs="Arial" w:eastAsia="Arial" w:hAnsi="Arial"/>
          <w:b w:val="1"/>
          <w:color w:val="000000"/>
          <w:sz w:val="24"/>
          <w:szCs w:val="24"/>
          <w:rtl w:val="0"/>
        </w:rPr>
        <w:t xml:space="preserve">"Termination Assistance Notice"</w:t>
      </w:r>
      <w:r w:rsidDel="00000000" w:rsidR="00000000" w:rsidRPr="00000000">
        <w:rPr>
          <w:rFonts w:ascii="Arial" w:cs="Arial" w:eastAsia="Arial" w:hAnsi="Arial"/>
          <w:color w:val="000000"/>
          <w:sz w:val="24"/>
          <w:szCs w:val="24"/>
          <w:rtl w:val="0"/>
        </w:rPr>
        <w:t xml:space="preserve">) at least four (4) Months prior to the Expiry Date or as soon as reasonably practicable (but in any event, not later than one (1) Month) following the service by either Party of a Termination Notice. The Termination Assistance Notice shall specify:</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nature of the Termination Assistance required; and</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2grqrue" w:id="16"/>
      <w:bookmarkEnd w:id="16"/>
      <w:r w:rsidDel="00000000" w:rsidR="00000000" w:rsidRPr="00000000">
        <w:rPr>
          <w:rFonts w:ascii="Arial" w:cs="Arial" w:eastAsia="Arial" w:hAnsi="Arial"/>
          <w:color w:val="000000"/>
          <w:sz w:val="24"/>
          <w:szCs w:val="24"/>
          <w:rtl w:val="0"/>
        </w:rPr>
        <w:t xml:space="preserve">the start date and initial period during which it is anticipated that Termination Assistance will be required, which shall continue no longer than twelve (12)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Months after the End Date.</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5nkun2" w:id="17"/>
      <w:bookmarkEnd w:id="17"/>
      <w:r w:rsidDel="00000000" w:rsidR="00000000" w:rsidRPr="00000000">
        <w:rPr>
          <w:rFonts w:ascii="Arial" w:cs="Arial" w:eastAsia="Arial" w:hAnsi="Arial"/>
          <w:color w:val="000000"/>
          <w:sz w:val="24"/>
          <w:szCs w:val="24"/>
          <w:rtl w:val="0"/>
        </w:rPr>
        <w:t xml:space="preserve">The Buyer shall have an option to extend the Termination Assistance Period beyond the initial period specified in the Termination Assistance Notice in one or more extensions, in each case provided that:</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such extension shall extend the Termination Assistance Period beyond the date </w:t>
      </w:r>
      <w:r w:rsidDel="00000000" w:rsidR="00000000" w:rsidRPr="00000000">
        <w:rPr>
          <w:rFonts w:ascii="Arial" w:cs="Arial" w:eastAsia="Arial" w:hAnsi="Arial"/>
          <w:sz w:val="24"/>
          <w:szCs w:val="24"/>
          <w:rtl w:val="0"/>
        </w:rPr>
        <w:t xml:space="preserve">six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 Months after the End Date; and </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notify the Supplier of any such extension no later than twenty (20) Working Days prior to the date on which the Termination Assistance Period is otherwise due to expire. </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pacing w:after="120" w:before="120" w:line="240" w:lineRule="auto"/>
        <w:ind w:left="928"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have the right to terminate its requirement for Termination Assistance by serving not less than (20) Working Days' written notice upon the Supplier.</w:t>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000000" w:rsidDel="00000000" w:rsidP="00000000" w:rsidRDefault="00000000" w:rsidRPr="00000000" w14:paraId="00000055">
      <w:pPr>
        <w:keepNext w:val="1"/>
        <w:keepLines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 Period </w:t>
      </w:r>
      <w:r w:rsidDel="00000000" w:rsidR="00000000" w:rsidRPr="00000000">
        <w:rPr>
          <w:rtl w:val="0"/>
        </w:rPr>
      </w:r>
    </w:p>
    <w:p w:rsidR="00000000" w:rsidDel="00000000" w:rsidP="00000000" w:rsidRDefault="00000000" w:rsidRPr="00000000" w14:paraId="00000056">
      <w:pPr>
        <w:keepNext w:val="1"/>
        <w:keepLines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the Termination Assistance Period the Supplier shall:</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continue to provide the Deliverables (as applicable) and otherwise perform its obligations under this Contract and, if required by the Buyer, provide the Termination Assistance;</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1ksv4uv" w:id="18"/>
      <w:bookmarkEnd w:id="18"/>
      <w:r w:rsidDel="00000000" w:rsidR="00000000" w:rsidRPr="00000000">
        <w:rPr>
          <w:rFonts w:ascii="Arial" w:cs="Arial" w:eastAsia="Arial" w:hAnsi="Arial"/>
          <w:color w:val="000000"/>
          <w:sz w:val="24"/>
          <w:szCs w:val="24"/>
          <w:rtl w:val="0"/>
        </w:rPr>
        <w:t xml:space="preserve">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44sinio" w:id="19"/>
      <w:bookmarkEnd w:id="19"/>
      <w:r w:rsidDel="00000000" w:rsidR="00000000" w:rsidRPr="00000000">
        <w:rPr>
          <w:rFonts w:ascii="Arial" w:cs="Arial" w:eastAsia="Arial" w:hAnsi="Arial"/>
          <w:color w:val="000000"/>
          <w:sz w:val="24"/>
          <w:szCs w:val="24"/>
          <w:rtl w:val="0"/>
        </w:rPr>
        <w:t xml:space="preserve">use all reasonable endeavours to reallocate resources to provide such assistance without additional costs to the Buyer;</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2jxsxqh" w:id="20"/>
      <w:bookmarkEnd w:id="20"/>
      <w:r w:rsidDel="00000000" w:rsidR="00000000" w:rsidRPr="00000000">
        <w:rPr>
          <w:rFonts w:ascii="Arial" w:cs="Arial" w:eastAsia="Arial" w:hAnsi="Arial"/>
          <w:color w:val="000000"/>
          <w:sz w:val="24"/>
          <w:szCs w:val="24"/>
          <w:rtl w:val="0"/>
        </w:rPr>
        <w:t xml:space="preserve">subject to Paragraph 6.3, provide the Deliverables and the Termination Assistance at no detriment to the Performance Indicators (PI’s) or </w:t>
      </w:r>
      <w:r w:rsidDel="00000000" w:rsidR="00000000" w:rsidRPr="00000000">
        <w:rPr>
          <w:rFonts w:ascii="Arial" w:cs="Arial" w:eastAsia="Arial" w:hAnsi="Arial"/>
          <w:sz w:val="24"/>
          <w:szCs w:val="24"/>
          <w:rtl w:val="0"/>
        </w:rPr>
        <w:t xml:space="preserve">Key Performance Indicators</w:t>
      </w:r>
      <w:r w:rsidDel="00000000" w:rsidR="00000000" w:rsidRPr="00000000">
        <w:rPr>
          <w:rFonts w:ascii="Arial" w:cs="Arial" w:eastAsia="Arial" w:hAnsi="Arial"/>
          <w:color w:val="000000"/>
          <w:sz w:val="24"/>
          <w:szCs w:val="24"/>
          <w:rtl w:val="0"/>
        </w:rPr>
        <w:t xml:space="preserve">, the provision of the Management Information or any other reports nor to any other of the Supplier's obligations under this Contract; </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z337ya" w:id="21"/>
      <w:bookmarkEnd w:id="21"/>
      <w:r w:rsidDel="00000000" w:rsidR="00000000" w:rsidRPr="00000000">
        <w:rPr>
          <w:rFonts w:ascii="Arial" w:cs="Arial" w:eastAsia="Arial" w:hAnsi="Arial"/>
          <w:color w:val="000000"/>
          <w:sz w:val="24"/>
          <w:szCs w:val="24"/>
          <w:rtl w:val="0"/>
        </w:rPr>
        <w:t xml:space="preserve">at the Buyer's request and on reasonable notice, deliver up-to-date Registers to the Buyer;</w:t>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seek the Buyer's prior written consent to access any Buyer Premises from which the de-installation or removal of Supplier Assets is required.</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j2qqm3" w:id="22"/>
      <w:bookmarkEnd w:id="22"/>
      <w:r w:rsidDel="00000000" w:rsidR="00000000" w:rsidRPr="00000000">
        <w:rPr>
          <w:rFonts w:ascii="Arial" w:cs="Arial" w:eastAsia="Arial" w:hAnsi="Arial"/>
          <w:color w:val="000000"/>
          <w:sz w:val="24"/>
          <w:szCs w:val="24"/>
          <w:rtl w:val="0"/>
        </w:rPr>
        <w:t xml:space="preserve">If the Supplier demonstrates to the Buyer's reasonable satisfaction that the provision of the Termination Assistance will have a material, unavoidable adverse effect on the Supplier's ability to meet one or more particular </w:t>
      </w:r>
      <w:r w:rsidDel="00000000" w:rsidR="00000000" w:rsidRPr="00000000">
        <w:rPr>
          <w:rFonts w:ascii="Arial" w:cs="Arial" w:eastAsia="Arial" w:hAnsi="Arial"/>
          <w:sz w:val="24"/>
          <w:szCs w:val="24"/>
          <w:rtl w:val="0"/>
        </w:rPr>
        <w:t xml:space="preserve">Key Performance Indicators</w:t>
      </w:r>
      <w:r w:rsidDel="00000000" w:rsidR="00000000" w:rsidRPr="00000000">
        <w:rPr>
          <w:rFonts w:ascii="Arial" w:cs="Arial" w:eastAsia="Arial" w:hAnsi="Arial"/>
          <w:color w:val="000000"/>
          <w:sz w:val="24"/>
          <w:szCs w:val="24"/>
          <w:rtl w:val="0"/>
        </w:rPr>
        <w:t xml:space="preserve">, the Parties shall vary the relevant </w:t>
      </w:r>
      <w:r w:rsidDel="00000000" w:rsidR="00000000" w:rsidRPr="00000000">
        <w:rPr>
          <w:rFonts w:ascii="Arial" w:cs="Arial" w:eastAsia="Arial" w:hAnsi="Arial"/>
          <w:sz w:val="24"/>
          <w:szCs w:val="24"/>
          <w:rtl w:val="0"/>
        </w:rPr>
        <w:t xml:space="preserve">Key Performance Indicators</w:t>
      </w:r>
      <w:r w:rsidDel="00000000" w:rsidR="00000000" w:rsidRPr="00000000">
        <w:rPr>
          <w:rFonts w:ascii="Arial" w:cs="Arial" w:eastAsia="Arial" w:hAnsi="Arial"/>
          <w:color w:val="000000"/>
          <w:sz w:val="24"/>
          <w:szCs w:val="24"/>
          <w:rtl w:val="0"/>
        </w:rPr>
        <w:t xml:space="preserve"> and/or the applicable Service Credits accordingly.</w:t>
      </w:r>
    </w:p>
    <w:p w:rsidR="00000000" w:rsidDel="00000000" w:rsidP="00000000" w:rsidRDefault="00000000" w:rsidRPr="00000000" w14:paraId="0000005F">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Obligations when the contract is terminated  </w:t>
      </w:r>
      <w:r w:rsidDel="00000000" w:rsidR="00000000" w:rsidRPr="00000000">
        <w:rPr>
          <w:rtl w:val="0"/>
        </w:rPr>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y810tw" w:id="23"/>
      <w:bookmarkEnd w:id="23"/>
      <w:r w:rsidDel="00000000" w:rsidR="00000000" w:rsidRPr="00000000">
        <w:rPr>
          <w:rFonts w:ascii="Arial" w:cs="Arial" w:eastAsia="Arial" w:hAnsi="Arial"/>
          <w:color w:val="000000"/>
          <w:sz w:val="24"/>
          <w:szCs w:val="24"/>
          <w:rtl w:val="0"/>
        </w:rPr>
        <w:t xml:space="preserve">The Supplier shall comply with all of its obligations contained in the Exit Plan.</w:t>
      </w:r>
    </w:p>
    <w:p w:rsidR="00000000" w:rsidDel="00000000" w:rsidP="00000000" w:rsidRDefault="00000000" w:rsidRPr="00000000" w14:paraId="00000061">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4i7ojhp" w:id="24"/>
      <w:bookmarkEnd w:id="24"/>
      <w:r w:rsidDel="00000000" w:rsidR="00000000" w:rsidRPr="00000000">
        <w:rPr>
          <w:rFonts w:ascii="Arial" w:cs="Arial" w:eastAsia="Arial" w:hAnsi="Arial"/>
          <w:color w:val="000000"/>
          <w:sz w:val="24"/>
          <w:szCs w:val="24"/>
          <w:rtl w:val="0"/>
        </w:rPr>
        <w:t xml:space="preserve">Upon termination or expiry or at the end of the Termination Assistance Period (or earlier if this does not adversely affect the Supplier's performance of the Deliverables and the Termination Assistance), the Supplier shall:</w:t>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vacate any Buyer Premises;</w:t>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000000" w:rsidDel="00000000" w:rsidP="00000000" w:rsidRDefault="00000000" w:rsidRPr="00000000" w14:paraId="00000064">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2xcytpi" w:id="25"/>
      <w:bookmarkEnd w:id="25"/>
      <w:r w:rsidDel="00000000" w:rsidR="00000000" w:rsidRPr="00000000">
        <w:rPr>
          <w:rFonts w:ascii="Arial" w:cs="Arial" w:eastAsia="Arial" w:hAnsi="Arial"/>
          <w:color w:val="000000"/>
          <w:sz w:val="24"/>
          <w:szCs w:val="24"/>
          <w:rtl w:val="0"/>
        </w:rPr>
        <w:t xml:space="preserve">provide access during normal working hours to the Buyer and/or the Replacement Supplier for up to twelve (12) Months after expiry or termination to:</w:t>
      </w:r>
    </w:p>
    <w:p w:rsidR="00000000" w:rsidDel="00000000" w:rsidP="00000000" w:rsidRDefault="00000000" w:rsidRPr="00000000" w14:paraId="00000065">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information relating to the Deliverables as remains in the possession or control of the Supplier; and</w:t>
      </w:r>
    </w:p>
    <w:p w:rsidR="00000000" w:rsidDel="00000000" w:rsidP="00000000" w:rsidRDefault="00000000" w:rsidRPr="00000000" w14:paraId="00000066">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bookmarkStart w:colFirst="0" w:colLast="0" w:name="_heading=h.1ci93xb" w:id="26"/>
      <w:bookmarkEnd w:id="26"/>
      <w:r w:rsidDel="00000000" w:rsidR="00000000" w:rsidRPr="00000000">
        <w:rPr>
          <w:rFonts w:ascii="Arial" w:cs="Arial" w:eastAsia="Arial" w:hAnsi="Arial"/>
          <w:color w:val="000000"/>
          <w:sz w:val="24"/>
          <w:szCs w:val="24"/>
          <w:rtl w:val="0"/>
        </w:rPr>
        <w:t xml:space="preserve">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whwml4" w:id="27"/>
      <w:bookmarkEnd w:id="27"/>
      <w:r w:rsidDel="00000000" w:rsidR="00000000" w:rsidRPr="00000000">
        <w:rPr>
          <w:rFonts w:ascii="Arial" w:cs="Arial" w:eastAsia="Arial" w:hAnsi="Arial"/>
          <w:color w:val="000000"/>
          <w:sz w:val="24"/>
          <w:szCs w:val="24"/>
          <w:rtl w:val="0"/>
        </w:rPr>
        <w:t xml:space="preserve">Except where this Contract provides otherwise, all licences, leases and authorisations granted by the Buyer to the Supplier in relation to the Deliverables shall be terminated with effect from the end of the Termination Assistance Period.</w:t>
      </w:r>
    </w:p>
    <w:p w:rsidR="00000000" w:rsidDel="00000000" w:rsidP="00000000" w:rsidRDefault="00000000" w:rsidRPr="00000000" w14:paraId="00000068">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Assets, Sub-contracts and Software</w:t>
      </w:r>
    </w:p>
    <w:p w:rsidR="00000000" w:rsidDel="00000000" w:rsidP="00000000" w:rsidRDefault="00000000" w:rsidRPr="00000000" w14:paraId="00000069">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bn6wsx" w:id="28"/>
      <w:bookmarkEnd w:id="28"/>
      <w:r w:rsidDel="00000000" w:rsidR="00000000" w:rsidRPr="00000000">
        <w:rPr>
          <w:rFonts w:ascii="Arial" w:cs="Arial" w:eastAsia="Arial" w:hAnsi="Arial"/>
          <w:color w:val="000000"/>
          <w:sz w:val="24"/>
          <w:szCs w:val="24"/>
          <w:rtl w:val="0"/>
        </w:rPr>
        <w:t xml:space="preserve">Following notice of termination of this Contract and during the Termination Assistance Period, the Supplier shall not, without the Buyer's prior written consent:</w:t>
      </w:r>
    </w:p>
    <w:p w:rsidR="00000000" w:rsidDel="00000000" w:rsidP="00000000" w:rsidRDefault="00000000" w:rsidRPr="00000000" w14:paraId="0000006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terminate, enter into or vary any Sub-contract or licence for any software in connection with the Deliverables; or</w:t>
      </w:r>
    </w:p>
    <w:p w:rsidR="00000000" w:rsidDel="00000000" w:rsidP="00000000" w:rsidRDefault="00000000" w:rsidRPr="00000000" w14:paraId="0000006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normal maintenance requirements) make material modifications to, or dispose of, any existing Supplier Assets or acquire any new Supplier Assets.</w:t>
      </w:r>
    </w:p>
    <w:p w:rsidR="00000000" w:rsidDel="00000000" w:rsidP="00000000" w:rsidRDefault="00000000" w:rsidRPr="00000000" w14:paraId="0000006C">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qsh70q" w:id="29"/>
      <w:bookmarkEnd w:id="29"/>
      <w:r w:rsidDel="00000000" w:rsidR="00000000" w:rsidRPr="00000000">
        <w:rPr>
          <w:rFonts w:ascii="Arial" w:cs="Arial" w:eastAsia="Arial" w:hAnsi="Arial"/>
          <w:color w:val="000000"/>
          <w:sz w:val="24"/>
          <w:szCs w:val="24"/>
          <w:rtl w:val="0"/>
        </w:rPr>
        <w:t xml:space="preserve">Within twenty (20) Working Days of receipt of the up-to-date Registers provided by the Supplier, the Buyer shall notify the Supplier setting out:</w:t>
      </w:r>
    </w:p>
    <w:p w:rsidR="00000000" w:rsidDel="00000000" w:rsidP="00000000" w:rsidRDefault="00000000" w:rsidRPr="00000000" w14:paraId="0000006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3as4poj" w:id="30"/>
      <w:bookmarkEnd w:id="30"/>
      <w:r w:rsidDel="00000000" w:rsidR="00000000" w:rsidRPr="00000000">
        <w:rPr>
          <w:rFonts w:ascii="Arial" w:cs="Arial" w:eastAsia="Arial" w:hAnsi="Arial"/>
          <w:color w:val="000000"/>
          <w:sz w:val="24"/>
          <w:szCs w:val="24"/>
          <w:rtl w:val="0"/>
        </w:rPr>
        <w:t xml:space="preserve">which, if any, of the Transferable Assets the Buyer requires to be transferred to the Buyer and/or the Replacement Supplier ("</w:t>
      </w:r>
      <w:r w:rsidDel="00000000" w:rsidR="00000000" w:rsidRPr="00000000">
        <w:rPr>
          <w:rFonts w:ascii="Arial" w:cs="Arial" w:eastAsia="Arial" w:hAnsi="Arial"/>
          <w:b w:val="1"/>
          <w:color w:val="000000"/>
          <w:sz w:val="24"/>
          <w:szCs w:val="24"/>
          <w:rtl w:val="0"/>
        </w:rPr>
        <w:t xml:space="preserve">Transferring Assets</w:t>
      </w:r>
      <w:r w:rsidDel="00000000" w:rsidR="00000000" w:rsidRPr="00000000">
        <w:rPr>
          <w:rFonts w:ascii="Arial" w:cs="Arial" w:eastAsia="Arial" w:hAnsi="Arial"/>
          <w:color w:val="000000"/>
          <w:sz w:val="24"/>
          <w:szCs w:val="24"/>
          <w:rtl w:val="0"/>
        </w:rPr>
        <w:t xml:space="preserve">"); </w:t>
      </w:r>
    </w:p>
    <w:bookmarkStart w:colFirst="0" w:colLast="0" w:name="bookmark=id.gjdgxs" w:id="31"/>
    <w:bookmarkEnd w:id="31"/>
    <w:bookmarkStart w:colFirst="0" w:colLast="0" w:name="bookmark=id.1pxezwc" w:id="32"/>
    <w:bookmarkEnd w:id="32"/>
    <w:p w:rsidR="00000000" w:rsidDel="00000000" w:rsidP="00000000" w:rsidRDefault="00000000" w:rsidRPr="00000000" w14:paraId="0000006E">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49x2ik5" w:id="33"/>
      <w:bookmarkEnd w:id="33"/>
      <w:r w:rsidDel="00000000" w:rsidR="00000000" w:rsidRPr="00000000">
        <w:rPr>
          <w:rFonts w:ascii="Arial" w:cs="Arial" w:eastAsia="Arial" w:hAnsi="Arial"/>
          <w:color w:val="000000"/>
          <w:sz w:val="24"/>
          <w:szCs w:val="24"/>
          <w:rtl w:val="0"/>
        </w:rPr>
        <w:t xml:space="preserve">which, if any, of:</w:t>
      </w:r>
    </w:p>
    <w:p w:rsidR="00000000" w:rsidDel="00000000" w:rsidP="00000000" w:rsidRDefault="00000000" w:rsidRPr="00000000" w14:paraId="0000006F">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Exclusive Assets that are not Transferable Assets; and </w:t>
      </w:r>
    </w:p>
    <w:p w:rsidR="00000000" w:rsidDel="00000000" w:rsidP="00000000" w:rsidRDefault="00000000" w:rsidRPr="00000000" w14:paraId="00000070">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Non-Exclusive Assets,</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2127"/>
        </w:tabs>
        <w:spacing w:after="120" w:before="120" w:line="240" w:lineRule="auto"/>
        <w:ind w:left="165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and/or the Replacement Supplier requires the continued use of; and</w:t>
      </w:r>
    </w:p>
    <w:p w:rsidR="00000000" w:rsidDel="00000000" w:rsidP="00000000" w:rsidRDefault="00000000" w:rsidRPr="00000000" w14:paraId="0000007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bookmarkStart w:colFirst="0" w:colLast="0" w:name="_heading=h.2p2csry" w:id="34"/>
      <w:bookmarkEnd w:id="34"/>
      <w:r w:rsidDel="00000000" w:rsidR="00000000" w:rsidRPr="00000000">
        <w:rPr>
          <w:rFonts w:ascii="Arial" w:cs="Arial" w:eastAsia="Arial" w:hAnsi="Arial"/>
          <w:color w:val="000000"/>
          <w:sz w:val="24"/>
          <w:szCs w:val="24"/>
          <w:rtl w:val="0"/>
        </w:rPr>
        <w:t xml:space="preserve">which, if any, of Transferable Contracts the Buyer requires to be assigned or novated to the Buyer and/or the Replacement Supplier (the </w:t>
      </w:r>
      <w:r w:rsidDel="00000000" w:rsidR="00000000" w:rsidRPr="00000000">
        <w:rPr>
          <w:rFonts w:ascii="Arial" w:cs="Arial" w:eastAsia="Arial" w:hAnsi="Arial"/>
          <w:b w:val="1"/>
          <w:color w:val="000000"/>
          <w:sz w:val="24"/>
          <w:szCs w:val="24"/>
          <w:rtl w:val="0"/>
        </w:rPr>
        <w:t xml:space="preserve">"Transferring Contracts"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709"/>
          <w:tab w:val="left" w:pos="2127"/>
        </w:tabs>
        <w:spacing w:after="120" w:before="120" w:line="240" w:lineRule="auto"/>
        <w:ind w:left="936" w:hanging="34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147n2zr" w:id="35"/>
      <w:bookmarkEnd w:id="35"/>
      <w:r w:rsidDel="00000000" w:rsidR="00000000" w:rsidRPr="00000000">
        <w:rPr>
          <w:rFonts w:ascii="Arial" w:cs="Arial" w:eastAsia="Arial" w:hAnsi="Arial"/>
          <w:color w:val="000000"/>
          <w:sz w:val="24"/>
          <w:szCs w:val="24"/>
          <w:rtl w:val="0"/>
        </w:rP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Risk in the Transferring Assets shall pass to the Buyer or the Replacement Supplier (as appropriate) at the end of the Termination Assistance Period and title shall pass on payment for them.</w:t>
      </w:r>
    </w:p>
    <w:p w:rsidR="00000000" w:rsidDel="00000000" w:rsidP="00000000" w:rsidRDefault="00000000" w:rsidRPr="00000000" w14:paraId="00000076">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o7alnk" w:id="36"/>
      <w:bookmarkEnd w:id="36"/>
      <w:r w:rsidDel="00000000" w:rsidR="00000000" w:rsidRPr="00000000">
        <w:rPr>
          <w:rFonts w:ascii="Arial" w:cs="Arial" w:eastAsia="Arial" w:hAnsi="Arial"/>
          <w:color w:val="000000"/>
          <w:sz w:val="24"/>
          <w:szCs w:val="24"/>
          <w:rtl w:val="0"/>
        </w:rPr>
        <w:t xml:space="preserve">Where the Buyer and/or the Replacement Supplier requires continued use of any Exclusive Assets that are not Transferable Assets or any Non-Exclusive Assets, the Supplier shall as soon as reasonably practicable:</w:t>
      </w:r>
    </w:p>
    <w:p w:rsidR="00000000" w:rsidDel="00000000" w:rsidP="00000000" w:rsidRDefault="00000000" w:rsidRPr="00000000" w14:paraId="0000007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procure a non-exclusive, perpetual, royalty-free licence for the Buyer and/or the Replacement Supplier to use such assets (with a right of sub-licence or assignment on the same terms); or failing which</w:t>
      </w:r>
    </w:p>
    <w:p w:rsidR="00000000" w:rsidDel="00000000" w:rsidP="00000000" w:rsidRDefault="00000000" w:rsidRPr="00000000" w14:paraId="0000007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procure a suitable alternative to such assets, the Buyer or the Replacement Supplier to bear the reasonable proven costs of procuring the same.</w:t>
      </w:r>
    </w:p>
    <w:p w:rsidR="00000000" w:rsidDel="00000000" w:rsidP="00000000" w:rsidRDefault="00000000" w:rsidRPr="00000000" w14:paraId="00000079">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23ckvvd" w:id="37"/>
      <w:bookmarkEnd w:id="37"/>
      <w:r w:rsidDel="00000000" w:rsidR="00000000" w:rsidRPr="00000000">
        <w:rPr>
          <w:rFonts w:ascii="Arial" w:cs="Arial" w:eastAsia="Arial" w:hAnsi="Arial"/>
          <w:color w:val="000000"/>
          <w:sz w:val="24"/>
          <w:szCs w:val="24"/>
          <w:rtl w:val="0"/>
        </w:rPr>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rsidR="00000000" w:rsidDel="00000000" w:rsidP="00000000" w:rsidRDefault="00000000" w:rsidRPr="00000000" w14:paraId="0000007A">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ihv636" w:id="38"/>
      <w:bookmarkEnd w:id="38"/>
      <w:r w:rsidDel="00000000" w:rsidR="00000000" w:rsidRPr="00000000">
        <w:rPr>
          <w:rFonts w:ascii="Arial" w:cs="Arial" w:eastAsia="Arial" w:hAnsi="Arial"/>
          <w:color w:val="000000"/>
          <w:sz w:val="24"/>
          <w:szCs w:val="24"/>
          <w:rtl w:val="0"/>
        </w:rPr>
        <w:t xml:space="preserve">The Buyer shall:</w:t>
      </w:r>
    </w:p>
    <w:p w:rsidR="00000000" w:rsidDel="00000000" w:rsidP="00000000" w:rsidRDefault="00000000" w:rsidRPr="00000000" w14:paraId="0000007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accept assignments from the Supplier or join with the Supplier in procuring a novation of each Transferring Contract; and</w:t>
      </w:r>
    </w:p>
    <w:p w:rsidR="00000000" w:rsidDel="00000000" w:rsidP="00000000" w:rsidRDefault="00000000" w:rsidRPr="00000000" w14:paraId="0000007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hold any Transferring Contracts on trust for the Buyer until the transfer of the relevant Transferring Contract to the Buyer and/or the Replacement Supplier has taken place.</w:t>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32hioqz" w:id="39"/>
      <w:bookmarkEnd w:id="39"/>
      <w:r w:rsidDel="00000000" w:rsidR="00000000" w:rsidRPr="00000000">
        <w:rPr>
          <w:rFonts w:ascii="Arial" w:cs="Arial" w:eastAsia="Arial" w:hAnsi="Arial"/>
          <w:color w:val="000000"/>
          <w:sz w:val="24"/>
          <w:szCs w:val="24"/>
          <w:rtl w:val="0"/>
        </w:rPr>
        <w:t xml:space="preserve">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w:t>
      </w:r>
      <w:r w:rsidDel="00000000" w:rsidR="00000000" w:rsidRPr="00000000">
        <w:rPr>
          <w:rFonts w:ascii="Arial" w:cs="Arial" w:eastAsia="Arial" w:hAnsi="Arial"/>
          <w:sz w:val="24"/>
          <w:szCs w:val="24"/>
          <w:rtl w:val="0"/>
        </w:rPr>
        <w:t xml:space="preserve">19 of the Core Terms </w:t>
      </w:r>
      <w:r w:rsidDel="00000000" w:rsidR="00000000" w:rsidRPr="00000000">
        <w:rPr>
          <w:rFonts w:ascii="Arial" w:cs="Arial" w:eastAsia="Arial" w:hAnsi="Arial"/>
          <w:color w:val="000000"/>
          <w:sz w:val="24"/>
          <w:szCs w:val="24"/>
          <w:rtl w:val="0"/>
        </w:rPr>
        <w:t xml:space="preserve">(Other people's rights in this contract) shall not apply to this Paragraph 8.9 which is intended to be enforceable by Third Parties Beneficiaries by virtue of the CRTPA.</w:t>
      </w:r>
    </w:p>
    <w:p w:rsidR="00000000" w:rsidDel="00000000" w:rsidP="00000000" w:rsidRDefault="00000000" w:rsidRPr="00000000" w14:paraId="0000007F">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mallCaps w:val="1"/>
          <w:color w:val="000000"/>
          <w:sz w:val="24"/>
          <w:szCs w:val="24"/>
        </w:rPr>
      </w:pPr>
      <w:bookmarkStart w:colFirst="0" w:colLast="0" w:name="_heading=h.1hmsyys" w:id="40"/>
      <w:bookmarkEnd w:id="40"/>
      <w:r w:rsidDel="00000000" w:rsidR="00000000" w:rsidRPr="00000000">
        <w:rPr>
          <w:rFonts w:ascii="Arial" w:cs="Arial" w:eastAsia="Arial" w:hAnsi="Arial"/>
          <w:b w:val="1"/>
          <w:smallCaps w:val="1"/>
          <w:color w:val="000000"/>
          <w:sz w:val="24"/>
          <w:szCs w:val="24"/>
          <w:rtl w:val="0"/>
        </w:rPr>
        <w:t xml:space="preserve">N</w:t>
      </w:r>
      <w:r w:rsidDel="00000000" w:rsidR="00000000" w:rsidRPr="00000000">
        <w:rPr>
          <w:rFonts w:ascii="Arial" w:cs="Arial" w:eastAsia="Arial" w:hAnsi="Arial"/>
          <w:b w:val="1"/>
          <w:color w:val="000000"/>
          <w:sz w:val="24"/>
          <w:szCs w:val="24"/>
          <w:rtl w:val="0"/>
        </w:rPr>
        <w:t xml:space="preserve">o charges</w:t>
      </w:r>
      <w:r w:rsidDel="00000000" w:rsidR="00000000" w:rsidRPr="00000000">
        <w:rPr>
          <w:rFonts w:ascii="Arial" w:cs="Arial" w:eastAsia="Arial" w:hAnsi="Arial"/>
          <w:b w:val="1"/>
          <w:smallCaps w:val="1"/>
          <w:color w:val="000000"/>
          <w:sz w:val="24"/>
          <w:szCs w:val="24"/>
          <w:rtl w:val="0"/>
        </w:rPr>
        <w:t xml:space="preserve"> </w:t>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stated, the Buyer shall not be obliged to pay for costs incurred by the Supplier in relation to its compliance with this Schedule.</w:t>
      </w:r>
    </w:p>
    <w:p w:rsidR="00000000" w:rsidDel="00000000" w:rsidP="00000000" w:rsidRDefault="00000000" w:rsidRPr="00000000" w14:paraId="00000081">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mallCaps w:val="1"/>
          <w:color w:val="000000"/>
          <w:sz w:val="24"/>
          <w:szCs w:val="24"/>
        </w:rPr>
      </w:pPr>
      <w:bookmarkStart w:colFirst="0" w:colLast="0" w:name="_heading=h.1pxezwc" w:id="41"/>
      <w:bookmarkEnd w:id="41"/>
      <w:r w:rsidDel="00000000" w:rsidR="00000000" w:rsidRPr="00000000">
        <w:rPr>
          <w:rFonts w:ascii="Arial" w:cs="Arial" w:eastAsia="Arial" w:hAnsi="Arial"/>
          <w:b w:val="1"/>
          <w:smallCaps w:val="1"/>
          <w:color w:val="000000"/>
          <w:sz w:val="24"/>
          <w:szCs w:val="24"/>
          <w:rtl w:val="0"/>
        </w:rPr>
        <w:t xml:space="preserve">D</w:t>
      </w:r>
      <w:r w:rsidDel="00000000" w:rsidR="00000000" w:rsidRPr="00000000">
        <w:rPr>
          <w:rFonts w:ascii="Arial" w:cs="Arial" w:eastAsia="Arial" w:hAnsi="Arial"/>
          <w:b w:val="1"/>
          <w:color w:val="000000"/>
          <w:sz w:val="24"/>
          <w:szCs w:val="24"/>
          <w:rtl w:val="0"/>
        </w:rPr>
        <w:t xml:space="preserve">ividing the bills </w:t>
      </w:r>
      <w:r w:rsidDel="00000000" w:rsidR="00000000" w:rsidRPr="00000000">
        <w:rPr>
          <w:rtl w:val="0"/>
        </w:rPr>
      </w:r>
    </w:p>
    <w:p w:rsidR="00000000" w:rsidDel="00000000" w:rsidP="00000000" w:rsidRDefault="00000000" w:rsidRPr="00000000" w14:paraId="00000082">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rFonts w:ascii="Arial" w:cs="Arial" w:eastAsia="Arial" w:hAnsi="Arial"/>
          <w:color w:val="000000"/>
          <w:sz w:val="24"/>
          <w:szCs w:val="24"/>
        </w:rPr>
      </w:pPr>
      <w:bookmarkStart w:colFirst="0" w:colLast="0" w:name="_heading=h.41mghml" w:id="42"/>
      <w:bookmarkEnd w:id="42"/>
      <w:r w:rsidDel="00000000" w:rsidR="00000000" w:rsidRPr="00000000">
        <w:rPr>
          <w:rFonts w:ascii="Arial" w:cs="Arial" w:eastAsia="Arial" w:hAnsi="Arial"/>
          <w:color w:val="000000"/>
          <w:sz w:val="24"/>
          <w:szCs w:val="24"/>
          <w:rtl w:val="0"/>
        </w:rPr>
        <w:t xml:space="preserve">All outgoings, expenses, rents, royalties and other periodical payments receivable in respect of the Transferring Assets and Transferring Contracts shall be apportioned between the Buyer and/or the Replacement and the Supplier as follows:</w:t>
      </w:r>
    </w:p>
    <w:p w:rsidR="00000000" w:rsidDel="00000000" w:rsidP="00000000" w:rsidRDefault="00000000" w:rsidRPr="00000000" w14:paraId="0000008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amounts shall be annualised and divided by 365 to reach a daily rate;</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or Replacement Supplier (as applicable) shall be responsible for or entitled to (as the case may be) that part of the value of the invoice pro rata to the number of complete days following the transfer, multiplied by the daily rate; and</w:t>
      </w:r>
    </w:p>
    <w:p w:rsidR="00000000" w:rsidDel="00000000" w:rsidP="00000000" w:rsidRDefault="00000000" w:rsidRPr="00000000" w14:paraId="00000085">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responsible for or entitled to (as the case may be) the rest of the invoice.</w:t>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Framework Ref: RM6</w:t>
    </w:r>
    <w:r w:rsidDel="00000000" w:rsidR="00000000" w:rsidRPr="00000000">
      <w:rPr>
        <w:rFonts w:ascii="Arial" w:cs="Arial" w:eastAsia="Arial" w:hAnsi="Arial"/>
        <w:sz w:val="20"/>
        <w:szCs w:val="20"/>
        <w:rtl w:val="0"/>
      </w:rPr>
      <w:t xml:space="preserve">232</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v3.</w:t>
    </w:r>
    <w:bookmarkStart w:colFirst="0" w:colLast="0" w:name="bookmark=id.2grqrue" w:id="43"/>
    <w:bookmarkEnd w:id="43"/>
    <w:r w:rsidDel="00000000" w:rsidR="00000000" w:rsidRPr="00000000">
      <w:rPr>
        <w:rFonts w:ascii="Arial" w:cs="Arial" w:eastAsia="Arial" w:hAnsi="Arial"/>
        <w:color w:val="000000"/>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Call-Off Schedule 10 (Exit Management)</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Ref: </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w:t>
    </w:r>
    <w:r w:rsidDel="00000000" w:rsidR="00000000" w:rsidRPr="00000000">
      <w:rPr>
        <w:rFonts w:ascii="Arial" w:cs="Arial" w:eastAsia="Arial" w:hAnsi="Arial"/>
        <w:sz w:val="20"/>
        <w:szCs w:val="20"/>
        <w:rtl w:val="0"/>
      </w:rPr>
      <w:t xml:space="preserve">21</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13"/>
        <w:tab w:val="right" w:pos="9026"/>
        <w:tab w:val="left" w:pos="3559"/>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7"/>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ind w:left="3402" w:hanging="567"/>
    </w:p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GPSL3Indent" w:customStyle="1">
    <w:name w:val="GPS L3 Indent"/>
    <w:basedOn w:val="Normal"/>
    <w:pPr>
      <w:tabs>
        <w:tab w:val="left" w:pos="2127"/>
      </w:tabs>
      <w:adjustRightInd w:val="0"/>
      <w:spacing w:after="120" w:before="120" w:line="240" w:lineRule="auto"/>
      <w:ind w:left="2127"/>
      <w:jc w:val="both"/>
    </w:pPr>
    <w:rPr>
      <w:rFonts w:ascii="Arial" w:cs="Arial" w:eastAsia="Times New Roman" w:hAnsi="Arial"/>
      <w:lang w:eastAsia="zh-CN" w:val="en-US"/>
    </w:rPr>
  </w:style>
  <w:style w:type="paragraph" w:styleId="GPSL2Indent" w:customStyle="1">
    <w:name w:val="GPS L2 Indent"/>
    <w:basedOn w:val="GPSL2numberedclause"/>
    <w:link w:val="GPSL2IndentChar"/>
    <w:qFormat w:val="1"/>
    <w:pPr>
      <w:numPr>
        <w:ilvl w:val="0"/>
        <w:numId w:val="0"/>
      </w:numPr>
      <w:tabs>
        <w:tab w:val="left" w:pos="709"/>
        <w:tab w:val="left" w:pos="2127"/>
      </w:tabs>
      <w:ind w:left="709"/>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character" w:styleId="GPSL2IndentChar" w:customStyle="1">
    <w:name w:val="GPS L2 Indent Char"/>
    <w:link w:val="GPSL2Indent"/>
    <w:rPr>
      <w:rFonts w:ascii="Calibri" w:cs="Arial" w:eastAsia="Times New Roman" w:hAnsi="Calibri"/>
      <w:lang w:eastAsia="zh-CN"/>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L1SCHEDULEHeading" w:customStyle="1">
    <w:name w:val="GPS L1 SCHEDULE Heading"/>
    <w:basedOn w:val="GPSL1CLAUSEHEADING"/>
    <w:link w:val="GPSL1SCHEDULEHeadingChar"/>
    <w:qFormat w:val="1"/>
    <w:pPr>
      <w:ind w:left="360"/>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cheduleL1" w:customStyle="1">
    <w:name w:val="Schedule L1"/>
    <w:basedOn w:val="Normal"/>
    <w:pPr>
      <w:tabs>
        <w:tab w:val="num" w:pos="720"/>
      </w:tabs>
      <w:adjustRightInd w:val="0"/>
      <w:spacing w:after="240" w:line="240" w:lineRule="auto"/>
      <w:ind w:left="720" w:hanging="720"/>
      <w:jc w:val="both"/>
      <w:outlineLvl w:val="0"/>
    </w:pPr>
    <w:rPr>
      <w:rFonts w:ascii="Times New Roman" w:cs="Times New Roman" w:eastAsia="STZhongsong" w:hAnsi="Times New Roman"/>
      <w:szCs w:val="20"/>
      <w:lang w:eastAsia="zh-CN"/>
    </w:rPr>
  </w:style>
  <w:style w:type="paragraph" w:styleId="ScheduleL2" w:customStyle="1">
    <w:name w:val="Schedule L2"/>
    <w:basedOn w:val="Normal"/>
    <w:link w:val="ScheduleL2Char"/>
    <w:pPr>
      <w:tabs>
        <w:tab w:val="num" w:pos="1440"/>
      </w:tabs>
      <w:adjustRightInd w:val="0"/>
      <w:spacing w:after="240" w:line="240" w:lineRule="auto"/>
      <w:ind w:left="1440" w:hanging="720"/>
      <w:jc w:val="both"/>
      <w:outlineLvl w:val="1"/>
    </w:pPr>
    <w:rPr>
      <w:rFonts w:ascii="Times New Roman" w:cs="Times New Roman" w:eastAsia="STZhongsong" w:hAnsi="Times New Roman"/>
      <w:szCs w:val="20"/>
      <w:lang w:eastAsia="zh-CN"/>
    </w:rPr>
  </w:style>
  <w:style w:type="paragraph" w:styleId="ScheduleL3" w:customStyle="1">
    <w:name w:val="Schedule L3"/>
    <w:basedOn w:val="Normal"/>
    <w:link w:val="ScheduleL3Char"/>
    <w:pPr>
      <w:tabs>
        <w:tab w:val="num" w:pos="2160"/>
      </w:tabs>
      <w:adjustRightInd w:val="0"/>
      <w:spacing w:after="240" w:line="240" w:lineRule="auto"/>
      <w:ind w:left="2160" w:hanging="720"/>
      <w:jc w:val="both"/>
      <w:outlineLvl w:val="2"/>
    </w:pPr>
    <w:rPr>
      <w:rFonts w:ascii="Times New Roman" w:cs="Times New Roman" w:eastAsia="STZhongsong" w:hAnsi="Times New Roman"/>
      <w:szCs w:val="20"/>
      <w:lang w:eastAsia="zh-CN"/>
    </w:rPr>
  </w:style>
  <w:style w:type="paragraph" w:styleId="ScheduleL4" w:customStyle="1">
    <w:name w:val="Schedule L4"/>
    <w:basedOn w:val="Normal"/>
    <w:pPr>
      <w:tabs>
        <w:tab w:val="num" w:pos="2880"/>
      </w:tabs>
      <w:adjustRightInd w:val="0"/>
      <w:spacing w:after="240" w:line="240" w:lineRule="auto"/>
      <w:ind w:left="2880" w:hanging="720"/>
      <w:jc w:val="both"/>
      <w:outlineLvl w:val="3"/>
    </w:pPr>
    <w:rPr>
      <w:rFonts w:ascii="Times New Roman" w:cs="Times New Roman" w:eastAsia="STZhongsong" w:hAnsi="Times New Roman"/>
      <w:szCs w:val="20"/>
      <w:lang w:eastAsia="zh-CN"/>
    </w:rPr>
  </w:style>
  <w:style w:type="paragraph" w:styleId="ScheduleL5" w:customStyle="1">
    <w:name w:val="Schedule L5"/>
    <w:basedOn w:val="Normal"/>
    <w:pPr>
      <w:numPr>
        <w:ilvl w:val="4"/>
        <w:numId w:val="3"/>
      </w:numPr>
      <w:adjustRightInd w:val="0"/>
      <w:spacing w:after="240" w:line="240" w:lineRule="auto"/>
      <w:jc w:val="both"/>
      <w:outlineLvl w:val="4"/>
    </w:pPr>
    <w:rPr>
      <w:rFonts w:ascii="Times New Roman" w:cs="Times New Roman" w:eastAsia="STZhongsong" w:hAnsi="Times New Roman"/>
      <w:szCs w:val="20"/>
      <w:lang w:eastAsia="zh-CN"/>
    </w:rPr>
  </w:style>
  <w:style w:type="paragraph" w:styleId="ScheduleL6" w:customStyle="1">
    <w:name w:val="Schedule L6"/>
    <w:basedOn w:val="Normal"/>
    <w:pPr>
      <w:numPr>
        <w:ilvl w:val="5"/>
        <w:numId w:val="3"/>
      </w:numPr>
      <w:adjustRightInd w:val="0"/>
      <w:spacing w:after="240" w:line="240" w:lineRule="auto"/>
      <w:jc w:val="both"/>
      <w:outlineLvl w:val="5"/>
    </w:pPr>
    <w:rPr>
      <w:rFonts w:ascii="Times New Roman" w:cs="Times New Roman" w:eastAsia="STZhongsong" w:hAnsi="Times New Roman"/>
      <w:szCs w:val="20"/>
      <w:lang w:eastAsia="zh-CN"/>
    </w:rPr>
  </w:style>
  <w:style w:type="paragraph" w:styleId="ScheduleL7" w:customStyle="1">
    <w:name w:val="Schedule L7"/>
    <w:basedOn w:val="Normal"/>
    <w:pPr>
      <w:numPr>
        <w:ilvl w:val="6"/>
        <w:numId w:val="3"/>
      </w:numPr>
      <w:adjustRightInd w:val="0"/>
      <w:spacing w:after="240" w:line="240" w:lineRule="auto"/>
      <w:jc w:val="both"/>
      <w:outlineLvl w:val="6"/>
    </w:pPr>
    <w:rPr>
      <w:rFonts w:ascii="Times New Roman" w:cs="Times New Roman" w:eastAsia="STZhongsong" w:hAnsi="Times New Roman"/>
      <w:szCs w:val="20"/>
      <w:lang w:eastAsia="zh-CN"/>
    </w:rPr>
  </w:style>
  <w:style w:type="paragraph" w:styleId="ScheduleL8" w:customStyle="1">
    <w:name w:val="Schedule L8"/>
    <w:basedOn w:val="Normal"/>
    <w:pPr>
      <w:numPr>
        <w:ilvl w:val="7"/>
        <w:numId w:val="3"/>
      </w:numPr>
      <w:adjustRightInd w:val="0"/>
      <w:spacing w:after="240" w:line="240" w:lineRule="auto"/>
      <w:jc w:val="both"/>
      <w:outlineLvl w:val="7"/>
    </w:pPr>
    <w:rPr>
      <w:rFonts w:ascii="Times New Roman" w:cs="Times New Roman" w:eastAsia="STZhongsong" w:hAnsi="Times New Roman"/>
      <w:szCs w:val="20"/>
      <w:lang w:eastAsia="zh-CN"/>
    </w:rPr>
  </w:style>
  <w:style w:type="paragraph" w:styleId="ScheduleL9" w:customStyle="1">
    <w:name w:val="Schedule L9"/>
    <w:basedOn w:val="Normal"/>
    <w:pPr>
      <w:numPr>
        <w:ilvl w:val="8"/>
        <w:numId w:val="3"/>
      </w:numPr>
      <w:adjustRightInd w:val="0"/>
      <w:spacing w:after="240" w:line="240" w:lineRule="auto"/>
      <w:jc w:val="both"/>
      <w:outlineLvl w:val="8"/>
    </w:pPr>
    <w:rPr>
      <w:rFonts w:ascii="Times New Roman" w:cs="Times New Roman" w:eastAsia="STZhongsong" w:hAnsi="Times New Roman"/>
      <w:szCs w:val="20"/>
      <w:lang w:eastAsia="zh-CN"/>
    </w:rPr>
  </w:style>
  <w:style w:type="character" w:styleId="ScheduleL2Char" w:customStyle="1">
    <w:name w:val="Schedule L2 Char"/>
    <w:link w:val="ScheduleL2"/>
    <w:locked w:val="1"/>
    <w:rPr>
      <w:rFonts w:ascii="Times New Roman" w:cs="Times New Roman" w:eastAsia="STZhongsong" w:hAnsi="Times New Roman"/>
      <w:szCs w:val="20"/>
      <w:lang w:eastAsia="zh-CN"/>
    </w:rPr>
  </w:style>
  <w:style w:type="character" w:styleId="ScheduleL3Char" w:customStyle="1">
    <w:name w:val="Schedule L3 Char"/>
    <w:link w:val="ScheduleL3"/>
    <w:locked w:val="1"/>
    <w:rPr>
      <w:rFonts w:ascii="Times New Roman" w:cs="Times New Roman" w:eastAsia="STZhongsong" w:hAnsi="Times New Roman"/>
      <w:szCs w:val="20"/>
      <w:lang w:eastAsia="zh-CN"/>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sz w:val="20"/>
      <w:szCs w:val="20"/>
    </w:rPr>
  </w:style>
  <w:style w:type="character" w:styleId="FootnoteReference">
    <w:name w:val="footnote reference"/>
    <w:basedOn w:val="DefaultParagraphFont"/>
    <w:uiPriority w:val="99"/>
    <w:semiHidden w:val="1"/>
    <w:unhideWhenUsed w:val="1"/>
    <w:rPr>
      <w:vertAlign w:val="superscript"/>
    </w:rPr>
  </w:style>
  <w:style w:type="paragraph" w:styleId="Schedule1" w:customStyle="1">
    <w:name w:val="Schedule 1"/>
    <w:basedOn w:val="Normal"/>
    <w:next w:val="BodyText"/>
    <w:pPr>
      <w:keepNext w:val="1"/>
      <w:tabs>
        <w:tab w:val="num" w:pos="720"/>
      </w:tabs>
      <w:spacing w:after="240" w:line="240" w:lineRule="auto"/>
      <w:ind w:left="720" w:hanging="720"/>
      <w:jc w:val="both"/>
    </w:pPr>
    <w:rPr>
      <w:rFonts w:ascii="Times New Roman" w:cs="Times New Roman" w:eastAsia="Times New Roman" w:hAnsi="Times New Roman"/>
      <w:b w:val="1"/>
      <w:caps w:val="1"/>
      <w:szCs w:val="20"/>
    </w:rPr>
  </w:style>
  <w:style w:type="paragraph" w:styleId="Schedule2" w:customStyle="1">
    <w:name w:val="Schedule 2"/>
    <w:basedOn w:val="Normal"/>
    <w:next w:val="BodyText"/>
    <w:pPr>
      <w:keepNext w:val="1"/>
      <w:tabs>
        <w:tab w:val="num" w:pos="1440"/>
      </w:tabs>
      <w:spacing w:after="210" w:line="264" w:lineRule="auto"/>
      <w:ind w:left="1440" w:hanging="720"/>
      <w:jc w:val="both"/>
    </w:pPr>
    <w:rPr>
      <w:rFonts w:ascii="Times New Roman" w:cs="Times New Roman" w:eastAsia="Times New Roman" w:hAnsi="Times New Roman"/>
      <w:sz w:val="23"/>
      <w:szCs w:val="20"/>
    </w:rPr>
  </w:style>
  <w:style w:type="paragraph" w:styleId="Schedule3" w:customStyle="1">
    <w:name w:val="Schedule 3"/>
    <w:basedOn w:val="Normal"/>
    <w:pPr>
      <w:tabs>
        <w:tab w:val="num" w:pos="2160"/>
      </w:tabs>
      <w:spacing w:after="210" w:line="264" w:lineRule="auto"/>
      <w:ind w:left="2160" w:hanging="720"/>
      <w:jc w:val="both"/>
    </w:pPr>
    <w:rPr>
      <w:rFonts w:ascii="Times New Roman" w:cs="Times New Roman" w:eastAsia="Times New Roman" w:hAnsi="Times New Roman"/>
      <w:sz w:val="23"/>
      <w:szCs w:val="20"/>
    </w:rPr>
  </w:style>
  <w:style w:type="paragraph" w:styleId="Schedule4" w:customStyle="1">
    <w:name w:val="Schedule 4"/>
    <w:basedOn w:val="Normal"/>
    <w:pPr>
      <w:tabs>
        <w:tab w:val="num" w:pos="2880"/>
      </w:tabs>
      <w:spacing w:after="210" w:line="264" w:lineRule="auto"/>
      <w:ind w:left="2880" w:hanging="720"/>
      <w:jc w:val="both"/>
    </w:pPr>
    <w:rPr>
      <w:rFonts w:ascii="Times New Roman" w:cs="Times New Roman" w:eastAsia="Times New Roman" w:hAnsi="Times New Roman"/>
      <w:sz w:val="23"/>
      <w:szCs w:val="20"/>
    </w:rPr>
  </w:style>
  <w:style w:type="paragraph" w:styleId="Schedule5" w:customStyle="1">
    <w:name w:val="Schedule 5"/>
    <w:basedOn w:val="Normal"/>
    <w:next w:val="Normal"/>
    <w:pPr>
      <w:tabs>
        <w:tab w:val="num" w:pos="3600"/>
      </w:tabs>
      <w:spacing w:after="210" w:line="264" w:lineRule="auto"/>
      <w:ind w:left="3600" w:hanging="720"/>
      <w:jc w:val="both"/>
    </w:pPr>
    <w:rPr>
      <w:rFonts w:ascii="Times New Roman" w:cs="Times New Roman" w:eastAsia="Times New Roman" w:hAnsi="Times New Roman"/>
      <w:sz w:val="23"/>
      <w:szCs w:val="20"/>
    </w:rPr>
  </w:style>
  <w:style w:type="paragraph" w:styleId="Schedule6" w:customStyle="1">
    <w:name w:val="Schedule 6"/>
    <w:basedOn w:val="Normal"/>
    <w:next w:val="Normal"/>
    <w:pPr>
      <w:keepNext w:val="1"/>
      <w:pageBreakBefore w:val="1"/>
      <w:tabs>
        <w:tab w:val="num" w:pos="4320"/>
      </w:tabs>
      <w:spacing w:after="360" w:line="312" w:lineRule="auto"/>
      <w:ind w:left="4320" w:hanging="720"/>
      <w:jc w:val="center"/>
    </w:pPr>
    <w:rPr>
      <w:rFonts w:ascii="Times New Roman Bold" w:cs="Times New Roman" w:eastAsia="Times New Roman" w:hAnsi="Times New Roman Bold"/>
      <w:b w:val="1"/>
      <w:smallCaps w:val="1"/>
      <w:szCs w:val="20"/>
    </w:rPr>
  </w:style>
  <w:style w:type="paragraph" w:styleId="Schedule7" w:customStyle="1">
    <w:name w:val="Schedule 7"/>
    <w:basedOn w:val="Normal"/>
    <w:next w:val="BodyText"/>
    <w:pPr>
      <w:keepNext w:val="1"/>
      <w:tabs>
        <w:tab w:val="num" w:pos="5040"/>
      </w:tabs>
      <w:spacing w:after="60" w:before="120" w:line="264" w:lineRule="auto"/>
      <w:ind w:left="5040" w:hanging="720"/>
      <w:jc w:val="both"/>
    </w:pPr>
    <w:rPr>
      <w:rFonts w:ascii="Times New Roman Bold" w:cs="Times New Roman" w:eastAsia="Times New Roman" w:hAnsi="Times New Roman Bold"/>
      <w:b w:val="1"/>
      <w:sz w:val="23"/>
      <w:szCs w:val="20"/>
    </w:rPr>
  </w:style>
  <w:style w:type="paragraph" w:styleId="Schedule8" w:customStyle="1">
    <w:name w:val="Schedule 8"/>
    <w:basedOn w:val="Normal"/>
    <w:pPr>
      <w:tabs>
        <w:tab w:val="num" w:pos="5760"/>
      </w:tabs>
      <w:spacing w:after="210" w:line="264" w:lineRule="auto"/>
      <w:ind w:left="5760" w:hanging="720"/>
      <w:jc w:val="both"/>
    </w:pPr>
    <w:rPr>
      <w:rFonts w:ascii="Times New Roman" w:cs="Times New Roman" w:eastAsia="Times New Roman" w:hAnsi="Times New Roman"/>
      <w:sz w:val="23"/>
      <w:szCs w:val="20"/>
    </w:rPr>
  </w:style>
  <w:style w:type="paragraph" w:styleId="Schedule9" w:customStyle="1">
    <w:name w:val="Schedule 9"/>
    <w:basedOn w:val="Normal"/>
    <w:next w:val="Normal"/>
    <w:pPr>
      <w:tabs>
        <w:tab w:val="num" w:pos="6480"/>
      </w:tabs>
      <w:spacing w:after="210" w:line="264" w:lineRule="auto"/>
      <w:ind w:left="6480" w:hanging="720"/>
      <w:jc w:val="both"/>
    </w:pPr>
    <w:rPr>
      <w:rFonts w:ascii="Times New Roman" w:cs="Times New Roman" w:eastAsia="Times New Roman" w:hAnsi="Times New Roman"/>
      <w:sz w:val="23"/>
      <w:szCs w:val="20"/>
    </w:rPr>
  </w:style>
  <w:style w:type="paragraph" w:styleId="StyleSchedule211pt" w:customStyle="1">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val="1"/>
    <w:unhideWhenUsed w:val="1"/>
    <w:pPr>
      <w:spacing w:after="120"/>
    </w:pPr>
  </w:style>
  <w:style w:type="character" w:styleId="BodyTextChar" w:customStyle="1">
    <w:name w:val="Body Text Char"/>
    <w:basedOn w:val="DefaultParagraphFont"/>
    <w:link w:val="BodyText"/>
    <w:uiPriority w:val="99"/>
    <w:semiHidden w:val="1"/>
  </w:style>
  <w:style w:type="paragraph" w:styleId="9plus" w:customStyle="1">
    <w:name w:val="9 plus"/>
    <w:basedOn w:val="Normal"/>
    <w:pPr>
      <w:tabs>
        <w:tab w:val="num" w:pos="720"/>
      </w:tabs>
      <w:spacing w:after="210" w:line="264" w:lineRule="auto"/>
      <w:ind w:left="720" w:hanging="720"/>
      <w:jc w:val="both"/>
    </w:pPr>
    <w:rPr>
      <w:rFonts w:ascii="Times New Roman" w:cs="Times New Roman" w:eastAsia="Times New Roman" w:hAnsi="Times New Roman"/>
      <w:sz w:val="23"/>
      <w:szCs w:val="20"/>
    </w:rPr>
  </w:style>
  <w:style w:type="paragraph" w:styleId="ListParagraph">
    <w:name w:val="List Paragraph"/>
    <w:basedOn w:val="Normal"/>
    <w:uiPriority w:val="34"/>
    <w:qFormat w:val="1"/>
    <w:pPr>
      <w:spacing w:after="0" w:line="240" w:lineRule="auto"/>
      <w:ind w:left="720"/>
    </w:pPr>
    <w:rPr>
      <w:rFonts w:cs="Times New Roman"/>
    </w:rPr>
  </w:style>
  <w:style w:type="paragraph" w:styleId="GPSSchTitleandNumber" w:customStyle="1">
    <w:name w:val="GPS Sch Title and Number"/>
    <w:basedOn w:val="Normal"/>
    <w:link w:val="GPSSchTitleandNumberChar"/>
    <w:qFormat w:val="1"/>
    <w:rsid w:val="00D417E2"/>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sid w:val="00D417E2"/>
    <w:rPr>
      <w:rFonts w:ascii="Arial Bold" w:cs="Times New Roman" w:eastAsia="STZhongsong" w:hAnsi="Arial Bold"/>
      <w:b w:val="1"/>
      <w:caps w:val="1"/>
      <w:lang w:eastAsia="zh-C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Revision">
    <w:name w:val="Revision"/>
    <w:hidden w:val="1"/>
    <w:uiPriority w:val="99"/>
    <w:semiHidden w:val="1"/>
    <w:rsid w:val="00B27A8D"/>
    <w:pPr>
      <w:spacing w:after="0" w:line="240" w:lineRule="auto"/>
    </w:pPr>
  </w:style>
  <w:style w:type="table" w:styleId="a0" w:customStyle="1">
    <w:basedOn w:val="TableNormal"/>
    <w:pPr>
      <w:spacing w:after="0" w:line="240" w:lineRule="auto"/>
    </w:pPr>
    <w:rPr>
      <w:sz w:val="20"/>
      <w:szCs w:val="20"/>
    </w:rPr>
    <w:tblPr>
      <w:tblStyleRowBandSize w:val="1"/>
      <w:tblStyleColBandSize w:val="1"/>
      <w:tblCellMar>
        <w:left w:w="115.0" w:type="dxa"/>
        <w:right w:w="115.0" w:type="dxa"/>
      </w:tblCellMar>
    </w:tblPr>
  </w:style>
  <w:style w:type="table" w:styleId="a1" w:customStyle="1">
    <w:basedOn w:val="TableNormal"/>
    <w:pPr>
      <w:spacing w:after="0" w:line="240" w:lineRule="auto"/>
    </w:pPr>
    <w:rPr>
      <w:sz w:val="20"/>
      <w:szCs w:val="20"/>
    </w:rPr>
    <w:tblPr>
      <w:tblStyleRowBandSize w:val="1"/>
      <w:tblStyleColBandSize w:val="1"/>
      <w:tblCellMar>
        <w:left w:w="115.0" w:type="dxa"/>
        <w:right w:w="115.0" w:type="dxa"/>
      </w:tblCellMar>
    </w:tblPr>
  </w:style>
  <w:style w:type="table" w:styleId="a2" w:customStyle="1">
    <w:basedOn w:val="TableNormal"/>
    <w:pPr>
      <w:spacing w:after="0" w:line="240" w:lineRule="auto"/>
    </w:pPr>
    <w:rPr>
      <w:sz w:val="20"/>
      <w:szCs w:val="2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213SQ8U/pipD8WH4OvzWhICN/w==">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2021-12-03T12:28:00Z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