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Joint Schedule 11 (Processing Data)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4">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3"/>
        <w:gridCol w:w="6753"/>
        <w:tblGridChange w:id="0">
          <w:tblGrid>
            <w:gridCol w:w="2263"/>
            <w:gridCol w:w="6753"/>
          </w:tblGrid>
        </w:tblGridChange>
      </w:tblGrid>
      <w:tr>
        <w:trPr>
          <w:cantSplit w:val="0"/>
          <w:tblHeader w:val="0"/>
        </w:trPr>
        <w:tc>
          <w:tcPr/>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“Processor Personnel”</w:t>
            </w:r>
          </w:p>
        </w:tc>
        <w:tc>
          <w:tcPr/>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directors, officers, employees, agents, consultants and suppliers of the Processor and/or of any Subprocessor engaged in the performance of its obligations under a Contract;</w:t>
            </w:r>
            <w:r w:rsidDel="00000000" w:rsidR="00000000" w:rsidRPr="00000000">
              <w:rPr>
                <w:rtl w:val="0"/>
              </w:rPr>
            </w:r>
          </w:p>
        </w:tc>
      </w:tr>
    </w:tbl>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Status of the Controller</w:t>
      </w:r>
    </w:p>
    <w:p w:rsidR="00000000" w:rsidDel="00000000" w:rsidP="00000000" w:rsidRDefault="00000000" w:rsidRPr="00000000" w14:paraId="00000008">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rsidR="00000000" w:rsidDel="00000000" w:rsidP="00000000" w:rsidRDefault="00000000" w:rsidRPr="00000000" w14:paraId="00000009">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“Controller” in respect of the other Party who is “Processor”;</w:t>
      </w:r>
    </w:p>
    <w:p w:rsidR="00000000" w:rsidDel="00000000" w:rsidP="00000000" w:rsidRDefault="00000000" w:rsidRPr="00000000" w14:paraId="0000000A">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“Processor” in respect of the other Party who is “Controller”;</w:t>
      </w:r>
    </w:p>
    <w:p w:rsidR="00000000" w:rsidDel="00000000" w:rsidP="00000000" w:rsidRDefault="00000000" w:rsidRPr="00000000" w14:paraId="0000000B">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“Joint Controller” with the other Party; </w:t>
      </w:r>
    </w:p>
    <w:p w:rsidR="00000000" w:rsidDel="00000000" w:rsidP="00000000" w:rsidRDefault="00000000" w:rsidRPr="00000000" w14:paraId="0000000C">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“Independent Controller” of the Personal Data where the other Party is also “Controller”,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280" w:lineRule="auto"/>
        <w:ind w:left="8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certain Personal Data under a Contract and shall specify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which scenario they think shall apply in each situation. </w:t>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Where one Party is Controller and the other Party its Processor </w:t>
      </w:r>
    </w:p>
    <w:p w:rsidR="00000000" w:rsidDel="00000000" w:rsidP="00000000" w:rsidRDefault="00000000" w:rsidRPr="00000000" w14:paraId="0000000F">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is a Processor, the only Processing that it is authorised to do is listed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by the Controller. </w:t>
      </w:r>
    </w:p>
    <w:p w:rsidR="00000000" w:rsidDel="00000000" w:rsidP="00000000" w:rsidRDefault="00000000" w:rsidRPr="00000000" w14:paraId="00000010">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notify the Controller immediately if it considers that any of the Controller’s instructions infringe the Data Protection Legislation.</w:t>
      </w:r>
    </w:p>
    <w:p w:rsidR="00000000" w:rsidDel="00000000" w:rsidP="00000000" w:rsidRDefault="00000000" w:rsidRPr="00000000" w14:paraId="00000011">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provide all reasonable assistance to the Controller in the preparation of any Data Protection Impact Assessment prior to commencing any Processing.  Such assistance may, at the discretion of the Controller, include:</w:t>
      </w:r>
    </w:p>
    <w:p w:rsidR="00000000" w:rsidDel="00000000" w:rsidP="00000000" w:rsidRDefault="00000000" w:rsidRPr="00000000" w14:paraId="00000012">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systematic description of the envisaged Processing and the purpose of the Processing;</w:t>
      </w:r>
    </w:p>
    <w:p w:rsidR="00000000" w:rsidDel="00000000" w:rsidP="00000000" w:rsidRDefault="00000000" w:rsidRPr="00000000" w14:paraId="00000013">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an assessment of the necessity and proportionality of the Processing in relation to the Deliverables;</w:t>
      </w:r>
    </w:p>
    <w:p w:rsidR="00000000" w:rsidDel="00000000" w:rsidP="00000000" w:rsidRDefault="00000000" w:rsidRPr="00000000" w14:paraId="00000014">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risks to the rights and freedoms of Data Subjects; and</w:t>
      </w:r>
    </w:p>
    <w:p w:rsidR="00000000" w:rsidDel="00000000" w:rsidP="00000000" w:rsidRDefault="00000000" w:rsidRPr="00000000" w14:paraId="00000015">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measures envisaged to address the risks, including safeguards, security measures and mechanisms to ensure the protection of Personal Data.</w:t>
      </w:r>
    </w:p>
    <w:bookmarkStart w:colFirst="0" w:colLast="0" w:name="bookmark=id.30j0zll" w:id="1"/>
    <w:bookmarkEnd w:id="1"/>
    <w:p w:rsidR="00000000" w:rsidDel="00000000" w:rsidP="00000000" w:rsidRDefault="00000000" w:rsidRPr="00000000" w14:paraId="00000016">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in relation to any Personal Data Processed in connection with its obligations under the Contract:</w:t>
      </w:r>
    </w:p>
    <w:bookmarkStart w:colFirst="0" w:colLast="0" w:name="bookmark=id.1fob9te" w:id="2"/>
    <w:bookmarkEnd w:id="2"/>
    <w:p w:rsidR="00000000" w:rsidDel="00000000" w:rsidP="00000000" w:rsidRDefault="00000000" w:rsidRPr="00000000" w14:paraId="00000017">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 that Personal Data only in accordance with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unless the Processor is required to do otherwise by Law. If it is so required the Processor shall notify the Controller before Processing the Personal Data unless prohibited by Law;</w:t>
      </w:r>
    </w:p>
    <w:bookmarkStart w:colFirst="0" w:colLast="0" w:name="bookmark=id.3znysh7" w:id="3"/>
    <w:bookmarkEnd w:id="3"/>
    <w:p w:rsidR="00000000" w:rsidDel="00000000" w:rsidP="00000000" w:rsidRDefault="00000000" w:rsidRPr="00000000" w14:paraId="00000018">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in place Protective Measures, including in the case of the Supplier the measures set out in Clause 14.3 of the Core Terms</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which  the Controller may reasonably reject (but failure to reject shall not amount to approval by the Controller of the adequacy of the Protective Measures) having taken account of the:</w:t>
      </w:r>
    </w:p>
    <w:p w:rsidR="00000000" w:rsidDel="00000000" w:rsidP="00000000" w:rsidRDefault="00000000" w:rsidRPr="00000000" w14:paraId="00000019">
      <w:pPr>
        <w:numPr>
          <w:ilvl w:val="3"/>
          <w:numId w:val="6"/>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of the data to be protected;</w:t>
      </w:r>
      <w:bookmarkStart w:colFirst="0" w:colLast="0" w:name="bookmark=id.2et92p0" w:id="4"/>
      <w:bookmarkEnd w:id="4"/>
      <w:r w:rsidDel="00000000" w:rsidR="00000000" w:rsidRPr="00000000">
        <w:rPr>
          <w:rtl w:val="0"/>
        </w:rPr>
      </w:r>
    </w:p>
    <w:p w:rsidR="00000000" w:rsidDel="00000000" w:rsidP="00000000" w:rsidRDefault="00000000" w:rsidRPr="00000000" w14:paraId="0000001A">
      <w:pPr>
        <w:numPr>
          <w:ilvl w:val="3"/>
          <w:numId w:val="6"/>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harm that might result from a Personal Data Breach;</w:t>
      </w:r>
    </w:p>
    <w:p w:rsidR="00000000" w:rsidDel="00000000" w:rsidP="00000000" w:rsidRDefault="00000000" w:rsidRPr="00000000" w14:paraId="0000001B">
      <w:pPr>
        <w:numPr>
          <w:ilvl w:val="3"/>
          <w:numId w:val="6"/>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of technological development; and</w:t>
      </w:r>
    </w:p>
    <w:p w:rsidR="00000000" w:rsidDel="00000000" w:rsidP="00000000" w:rsidRDefault="00000000" w:rsidRPr="00000000" w14:paraId="0000001C">
      <w:pPr>
        <w:numPr>
          <w:ilvl w:val="3"/>
          <w:numId w:val="6"/>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of implementing any measures; </w:t>
      </w:r>
    </w:p>
    <w:bookmarkStart w:colFirst="0" w:colLast="0" w:name="bookmark=id.tyjcwt" w:id="5"/>
    <w:bookmarkEnd w:id="5"/>
    <w:p w:rsidR="00000000" w:rsidDel="00000000" w:rsidP="00000000" w:rsidRDefault="00000000" w:rsidRPr="00000000" w14:paraId="0000001D">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w:t>
      </w:r>
    </w:p>
    <w:p w:rsidR="00000000" w:rsidDel="00000000" w:rsidP="00000000" w:rsidRDefault="00000000" w:rsidRPr="00000000" w14:paraId="0000001E">
      <w:pPr>
        <w:numPr>
          <w:ilvl w:val="3"/>
          <w:numId w:val="6"/>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Personnel do not Process Personal Data except in accordance with the Contract (and in particular Annex 1</w:t>
      </w:r>
      <w:r w:rsidDel="00000000" w:rsidR="00000000" w:rsidRPr="00000000">
        <w:rPr>
          <w:rFonts w:ascii="Arial" w:cs="Arial" w:eastAsia="Arial" w:hAnsi="Arial"/>
          <w:i w:val="1"/>
          <w:sz w:val="24"/>
          <w:szCs w:val="24"/>
          <w:rtl w:val="0"/>
        </w:rPr>
        <w:t xml:space="preserve"> (Processing Personal Data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numPr>
          <w:ilvl w:val="3"/>
          <w:numId w:val="6"/>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takes all reasonable steps to ensure the reliability and integrity of any Processor Personnel who have access to the Personal Data and ensure that they:</w:t>
      </w:r>
    </w:p>
    <w:p w:rsidR="00000000" w:rsidDel="00000000" w:rsidP="00000000" w:rsidRDefault="00000000" w:rsidRPr="00000000" w14:paraId="00000020">
      <w:pPr>
        <w:numPr>
          <w:ilvl w:val="4"/>
          <w:numId w:val="6"/>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aware of and comply with the Processor’s duties under this Joint Schedule 11, Clauses 14 (</w:t>
      </w:r>
      <w:r w:rsidDel="00000000" w:rsidR="00000000" w:rsidRPr="00000000">
        <w:rPr>
          <w:rFonts w:ascii="Arial" w:cs="Arial" w:eastAsia="Arial" w:hAnsi="Arial"/>
          <w:i w:val="1"/>
          <w:sz w:val="24"/>
          <w:szCs w:val="24"/>
          <w:rtl w:val="0"/>
        </w:rPr>
        <w:t xml:space="preserve">Data protection</w:t>
      </w:r>
      <w:r w:rsidDel="00000000" w:rsidR="00000000" w:rsidRPr="00000000">
        <w:rPr>
          <w:rFonts w:ascii="Arial" w:cs="Arial" w:eastAsia="Arial" w:hAnsi="Arial"/>
          <w:sz w:val="24"/>
          <w:szCs w:val="24"/>
          <w:rtl w:val="0"/>
        </w:rPr>
        <w:t xml:space="preserve">), 15 (</w:t>
      </w:r>
      <w:r w:rsidDel="00000000" w:rsidR="00000000" w:rsidRPr="00000000">
        <w:rPr>
          <w:rFonts w:ascii="Arial" w:cs="Arial" w:eastAsia="Arial" w:hAnsi="Arial"/>
          <w:i w:val="1"/>
          <w:sz w:val="24"/>
          <w:szCs w:val="24"/>
          <w:rtl w:val="0"/>
        </w:rPr>
        <w:t xml:space="preserve">What you must keep confidential</w:t>
      </w:r>
      <w:r w:rsidDel="00000000" w:rsidR="00000000" w:rsidRPr="00000000">
        <w:rPr>
          <w:rFonts w:ascii="Arial" w:cs="Arial" w:eastAsia="Arial" w:hAnsi="Arial"/>
          <w:sz w:val="24"/>
          <w:szCs w:val="24"/>
          <w:rtl w:val="0"/>
        </w:rPr>
        <w:t xml:space="preserve">) and 16 (</w:t>
      </w:r>
      <w:r w:rsidDel="00000000" w:rsidR="00000000" w:rsidRPr="00000000">
        <w:rPr>
          <w:rFonts w:ascii="Arial" w:cs="Arial" w:eastAsia="Arial" w:hAnsi="Arial"/>
          <w:i w:val="1"/>
          <w:sz w:val="24"/>
          <w:szCs w:val="24"/>
          <w:rtl w:val="0"/>
        </w:rPr>
        <w:t xml:space="preserve">When you can share information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1">
      <w:pPr>
        <w:numPr>
          <w:ilvl w:val="4"/>
          <w:numId w:val="6"/>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subject to appropriate confidentiality undertakings with the Processor or any Subprocessor;</w:t>
      </w:r>
    </w:p>
    <w:p w:rsidR="00000000" w:rsidDel="00000000" w:rsidP="00000000" w:rsidRDefault="00000000" w:rsidRPr="00000000" w14:paraId="00000022">
      <w:pPr>
        <w:numPr>
          <w:ilvl w:val="4"/>
          <w:numId w:val="6"/>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informed of the confidential nature of the Personal Data and do not publish, disclose or divulge any of the Personal Data to any third party unless directed in writing to do so by the Controller or as otherwise permitted by the Contract; and</w:t>
      </w:r>
    </w:p>
    <w:p w:rsidR="00000000" w:rsidDel="00000000" w:rsidP="00000000" w:rsidRDefault="00000000" w:rsidRPr="00000000" w14:paraId="00000023">
      <w:pPr>
        <w:numPr>
          <w:ilvl w:val="4"/>
          <w:numId w:val="6"/>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undergone adequate training in the use, care, protection and handling of Personal Data; </w:t>
      </w:r>
    </w:p>
    <w:bookmarkStart w:colFirst="0" w:colLast="0" w:name="bookmark=id.3dy6vkm" w:id="6"/>
    <w:bookmarkEnd w:id="6"/>
    <w:p w:rsidR="00000000" w:rsidDel="00000000" w:rsidP="00000000" w:rsidRDefault="00000000" w:rsidRPr="00000000" w14:paraId="00000024">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transfer Personal Data outside of the UK or EU unless the prior written consent of the Controller has been obtained and the following conditions are fulfilled:</w:t>
      </w:r>
    </w:p>
    <w:bookmarkStart w:colFirst="0" w:colLast="0" w:name="bookmark=id.1t3h5sf" w:id="7"/>
    <w:bookmarkEnd w:id="7"/>
    <w:p w:rsidR="00000000" w:rsidDel="00000000" w:rsidP="00000000" w:rsidRDefault="00000000" w:rsidRPr="00000000" w14:paraId="00000025">
      <w:pPr>
        <w:numPr>
          <w:ilvl w:val="3"/>
          <w:numId w:val="6"/>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or the Processor has provided appropriate safeguards in relation to the transfer (whether in accordance with UK GDPR Article 46 or LED Article 37) as determined by the Controller;</w:t>
      </w:r>
    </w:p>
    <w:bookmarkStart w:colFirst="0" w:colLast="0" w:name="bookmark=id.4d34og8" w:id="8"/>
    <w:bookmarkEnd w:id="8"/>
    <w:p w:rsidR="00000000" w:rsidDel="00000000" w:rsidP="00000000" w:rsidRDefault="00000000" w:rsidRPr="00000000" w14:paraId="00000026">
      <w:pPr>
        <w:numPr>
          <w:ilvl w:val="3"/>
          <w:numId w:val="6"/>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Data Subject has enforceable rights and effective legal remedies;</w:t>
      </w:r>
    </w:p>
    <w:bookmarkStart w:colFirst="0" w:colLast="0" w:name="bookmark=id.2s8eyo1" w:id="9"/>
    <w:bookmarkEnd w:id="9"/>
    <w:p w:rsidR="00000000" w:rsidDel="00000000" w:rsidP="00000000" w:rsidRDefault="00000000" w:rsidRPr="00000000" w14:paraId="00000027">
      <w:pPr>
        <w:numPr>
          <w:ilvl w:val="3"/>
          <w:numId w:val="6"/>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bookmarkStart w:colFirst="0" w:colLast="0" w:name="bookmark=id.17dp8vu" w:id="10"/>
    <w:bookmarkEnd w:id="10"/>
    <w:p w:rsidR="00000000" w:rsidDel="00000000" w:rsidP="00000000" w:rsidRDefault="00000000" w:rsidRPr="00000000" w14:paraId="00000028">
      <w:pPr>
        <w:numPr>
          <w:ilvl w:val="3"/>
          <w:numId w:val="6"/>
        </w:numPr>
        <w:pBdr>
          <w:top w:space="0" w:sz="0" w:val="nil"/>
          <w:left w:space="0" w:sz="0" w:val="nil"/>
          <w:bottom w:space="0" w:sz="0" w:val="nil"/>
          <w:right w:space="0" w:sz="0" w:val="nil"/>
          <w:between w:space="0" w:sz="0" w:val="nil"/>
        </w:pBdr>
        <w:tabs>
          <w:tab w:val="left" w:pos="2261"/>
        </w:tabs>
        <w:spacing w:after="12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any reasonable instructions notified to it in advance by the Controller with respect to the Processing of the Personal Data; and</w:t>
      </w:r>
    </w:p>
    <w:bookmarkStart w:colFirst="0" w:colLast="0" w:name="bookmark=id.3rdcrjn" w:id="11"/>
    <w:bookmarkEnd w:id="11"/>
    <w:p w:rsidR="00000000" w:rsidDel="00000000" w:rsidP="00000000" w:rsidRDefault="00000000" w:rsidRPr="00000000" w14:paraId="00000029">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the written direction of the Controller, delete or return Personal Data (and any copies of it) to the Controller on termination of the Contract unless the Processor is required by Law to retain the Personal Data.</w:t>
      </w:r>
    </w:p>
    <w:bookmarkStart w:colFirst="0" w:colLast="0" w:name="bookmark=id.26in1rg" w:id="12"/>
    <w:bookmarkEnd w:id="12"/>
    <w:p w:rsidR="00000000" w:rsidDel="00000000" w:rsidP="00000000" w:rsidRDefault="00000000" w:rsidRPr="00000000" w14:paraId="0000002A">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Subject to paragraph 7 of this Joint Schedule 11, the Processor  shall notify the Controller immediately if in relation to it Processing Personal Data under or in connection with the Contract it:</w:t>
      </w:r>
    </w:p>
    <w:p w:rsidR="00000000" w:rsidDel="00000000" w:rsidP="00000000" w:rsidRDefault="00000000" w:rsidRPr="00000000" w14:paraId="0000002B">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Data Subject Access Request (or purported Data Subject Access Request);</w:t>
      </w:r>
    </w:p>
    <w:p w:rsidR="00000000" w:rsidDel="00000000" w:rsidP="00000000" w:rsidRDefault="00000000" w:rsidRPr="00000000" w14:paraId="0000002C">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to rectify, block or erase any Personal Data; </w:t>
      </w:r>
    </w:p>
    <w:p w:rsidR="00000000" w:rsidDel="00000000" w:rsidP="00000000" w:rsidRDefault="00000000" w:rsidRPr="00000000" w14:paraId="0000002D">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other request, complaint or communication relating to either Party's obligations under the Data Protection Legislation; </w:t>
      </w:r>
    </w:p>
    <w:p w:rsidR="00000000" w:rsidDel="00000000" w:rsidP="00000000" w:rsidRDefault="00000000" w:rsidRPr="00000000" w14:paraId="0000002E">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communication from the Information Commissioner or any other regulatory authority in connection with Personal Data Processed under the Contract; </w:t>
      </w:r>
    </w:p>
    <w:p w:rsidR="00000000" w:rsidDel="00000000" w:rsidP="00000000" w:rsidRDefault="00000000" w:rsidRPr="00000000" w14:paraId="0000002F">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from any third Party for disclosure of Personal Data where compliance with such request is required or purported to be required by Law; or</w:t>
      </w:r>
    </w:p>
    <w:p w:rsidR="00000000" w:rsidDel="00000000" w:rsidP="00000000" w:rsidRDefault="00000000" w:rsidRPr="00000000" w14:paraId="00000030">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becomes aware of a Personal Data Breach.</w:t>
      </w:r>
    </w:p>
    <w:p w:rsidR="00000000" w:rsidDel="00000000" w:rsidP="00000000" w:rsidRDefault="00000000" w:rsidRPr="00000000" w14:paraId="00000031">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Processor’s obligation to notify under paragraph 6 of this Joint Schedule 11 shall include the provision of further information to the Controller, as details become available. </w:t>
      </w:r>
    </w:p>
    <w:p w:rsidR="00000000" w:rsidDel="00000000" w:rsidP="00000000" w:rsidRDefault="00000000" w:rsidRPr="00000000" w14:paraId="00000032">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Taking into account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rsidR="00000000" w:rsidDel="00000000" w:rsidP="00000000" w:rsidRDefault="00000000" w:rsidRPr="00000000" w14:paraId="00000033">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with full details and copies of the complaint, communication or request;</w:t>
      </w:r>
    </w:p>
    <w:p w:rsidR="00000000" w:rsidDel="00000000" w:rsidP="00000000" w:rsidRDefault="00000000" w:rsidRPr="00000000" w14:paraId="00000034">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such assistance as is reasonably requested by the Controller to enable it to comply with a Data Subject Access Request within the relevant timescales set out in the Data Protection Legislation; </w:t>
      </w:r>
    </w:p>
    <w:p w:rsidR="00000000" w:rsidDel="00000000" w:rsidP="00000000" w:rsidRDefault="00000000" w:rsidRPr="00000000" w14:paraId="00000035">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at its request, with any Personal Data it holds in relation to a Data Subject; </w:t>
      </w:r>
    </w:p>
    <w:p w:rsidR="00000000" w:rsidDel="00000000" w:rsidP="00000000" w:rsidRDefault="00000000" w:rsidRPr="00000000" w14:paraId="00000036">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following any Personal Data Breach;  and/or</w:t>
      </w:r>
    </w:p>
    <w:p w:rsidR="00000000" w:rsidDel="00000000" w:rsidP="00000000" w:rsidRDefault="00000000" w:rsidRPr="00000000" w14:paraId="00000037">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with respect to any request from the Information Commissioner’s Office, or any consultation by the Controller with the Information Commissioner's Office.</w:t>
      </w:r>
    </w:p>
    <w:p w:rsidR="00000000" w:rsidDel="00000000" w:rsidP="00000000" w:rsidRDefault="00000000" w:rsidRPr="00000000" w14:paraId="00000038">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maintain complete and accurate records and information to demonstrate its compliance with this Joint Schedule 11. This requirement does not apply where the Processor employs fewer than 250 staff, unless:</w:t>
      </w:r>
    </w:p>
    <w:p w:rsidR="00000000" w:rsidDel="00000000" w:rsidP="00000000" w:rsidRDefault="00000000" w:rsidRPr="00000000" w14:paraId="00000039">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not occasional;</w:t>
      </w:r>
    </w:p>
    <w:p w:rsidR="00000000" w:rsidDel="00000000" w:rsidP="00000000" w:rsidRDefault="00000000" w:rsidRPr="00000000" w14:paraId="0000003A">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the Processing includes special categories of data as referred to in Article 9(1) of the UK GDPR or Personal Data relating to criminal convictions and offences referred to in Article 10 of the UK GDPR; or</w:t>
      </w:r>
    </w:p>
    <w:p w:rsidR="00000000" w:rsidDel="00000000" w:rsidP="00000000" w:rsidRDefault="00000000" w:rsidRPr="00000000" w14:paraId="0000003B">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likely to result in a risk to the rights and freedoms of Data Subjects.</w:t>
      </w:r>
    </w:p>
    <w:bookmarkStart w:colFirst="0" w:colLast="0" w:name="bookmark=id.lnxbz9" w:id="13"/>
    <w:bookmarkEnd w:id="13"/>
    <w:p w:rsidR="00000000" w:rsidDel="00000000" w:rsidP="00000000" w:rsidRDefault="00000000" w:rsidRPr="00000000" w14:paraId="0000003C">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allow for audits of its Data Processing activity by the Controller or the Controller’s designated auditor.</w:t>
      </w:r>
    </w:p>
    <w:p w:rsidR="00000000" w:rsidDel="00000000" w:rsidP="00000000" w:rsidRDefault="00000000" w:rsidRPr="00000000" w14:paraId="0000003D">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designate a Data Protection Officer if required by the Data Protection Legislation. </w:t>
      </w:r>
    </w:p>
    <w:p w:rsidR="00000000" w:rsidDel="00000000" w:rsidP="00000000" w:rsidRDefault="00000000" w:rsidRPr="00000000" w14:paraId="0000003E">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allowing any Subprocessor to Process any Personal Data related to the Contract, the Processor must:</w:t>
      </w:r>
    </w:p>
    <w:p w:rsidR="00000000" w:rsidDel="00000000" w:rsidP="00000000" w:rsidRDefault="00000000" w:rsidRPr="00000000" w14:paraId="0000003F">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notify the Controller in writing of the intended Subprocessor and Processing;</w:t>
      </w:r>
    </w:p>
    <w:p w:rsidR="00000000" w:rsidDel="00000000" w:rsidP="00000000" w:rsidRDefault="00000000" w:rsidRPr="00000000" w14:paraId="00000040">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obtain the written consent of the Controller; </w:t>
      </w:r>
    </w:p>
    <w:p w:rsidR="00000000" w:rsidDel="00000000" w:rsidP="00000000" w:rsidRDefault="00000000" w:rsidRPr="00000000" w14:paraId="00000041">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 written agreement with the Subprocessor which give effect to the terms set out in this Joint Schedule 11 such that they apply to the Subprocessor; and</w:t>
      </w:r>
    </w:p>
    <w:p w:rsidR="00000000" w:rsidDel="00000000" w:rsidP="00000000" w:rsidRDefault="00000000" w:rsidRPr="00000000" w14:paraId="00000042">
      <w:pPr>
        <w:numPr>
          <w:ilvl w:val="2"/>
          <w:numId w:val="6"/>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Controller with such information regarding the Subprocessor as the Controller may reasonably require.</w:t>
      </w:r>
    </w:p>
    <w:p w:rsidR="00000000" w:rsidDel="00000000" w:rsidP="00000000" w:rsidRDefault="00000000" w:rsidRPr="00000000" w14:paraId="00000043">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remain fully liable for all acts or omissions of any of its Subprocessors.</w:t>
      </w:r>
    </w:p>
    <w:bookmarkStart w:colFirst="0" w:colLast="0" w:name="bookmark=id.35nkun2" w:id="14"/>
    <w:bookmarkEnd w:id="14"/>
    <w:p w:rsidR="00000000" w:rsidDel="00000000" w:rsidP="00000000" w:rsidRDefault="00000000" w:rsidRPr="00000000" w14:paraId="00000044">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rsidR="00000000" w:rsidDel="00000000" w:rsidP="00000000" w:rsidRDefault="00000000" w:rsidRPr="00000000" w14:paraId="00000045">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Where the Parties are Joint Controllers of Personal Data </w:t>
      </w:r>
    </w:p>
    <w:p w:rsidR="00000000" w:rsidDel="00000000" w:rsidP="00000000" w:rsidRDefault="00000000" w:rsidRPr="00000000" w14:paraId="00000047">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Independent Controllers of Personal Data </w:t>
      </w:r>
    </w:p>
    <w:p w:rsidR="00000000" w:rsidDel="00000000" w:rsidP="00000000" w:rsidRDefault="00000000" w:rsidRPr="00000000" w14:paraId="00000049">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000000" w:rsidDel="00000000" w:rsidP="00000000" w:rsidRDefault="00000000" w:rsidRPr="00000000" w14:paraId="0000004A">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Process the Personal Data in compliance with its obligations under the Data Protection Legislation and not do anything to cause the other Party to be in breach of it. </w:t>
      </w:r>
    </w:p>
    <w:p w:rsidR="00000000" w:rsidDel="00000000" w:rsidP="00000000" w:rsidRDefault="00000000" w:rsidRPr="00000000" w14:paraId="0000004B">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rsidR="00000000" w:rsidDel="00000000" w:rsidP="00000000" w:rsidRDefault="00000000" w:rsidRPr="00000000" w14:paraId="0000004C">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be responsible for their own compliance with Articles 13 and 14 UK GDPR in respect of the Processing of Personal Data for the purposes of the Contract. </w:t>
      </w:r>
    </w:p>
    <w:p w:rsidR="00000000" w:rsidDel="00000000" w:rsidP="00000000" w:rsidRDefault="00000000" w:rsidRPr="00000000" w14:paraId="0000004D">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only provide Personal Data to each other:</w:t>
      </w:r>
    </w:p>
    <w:p w:rsidR="00000000" w:rsidDel="00000000" w:rsidP="00000000" w:rsidRDefault="00000000" w:rsidRPr="00000000" w14:paraId="0000004E">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the extent necessary to perform their respective obligations under the Contract;</w:t>
      </w:r>
    </w:p>
    <w:p w:rsidR="00000000" w:rsidDel="00000000" w:rsidP="00000000" w:rsidRDefault="00000000" w:rsidRPr="00000000" w14:paraId="0000004F">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compliance with the Data Protection Legislation (including by ensuring all required data privacy information has been given to affected Data Subjects to meet the requirements of Articles 13 and 14 of the UK GDPR); and</w:t>
      </w:r>
    </w:p>
    <w:p w:rsidR="00000000" w:rsidDel="00000000" w:rsidP="00000000" w:rsidRDefault="00000000" w:rsidRPr="00000000" w14:paraId="00000050">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it has recorded it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tl w:val="0"/>
        </w:rPr>
      </w:r>
    </w:p>
    <w:p w:rsidR="00000000" w:rsidDel="00000000" w:rsidP="00000000" w:rsidRDefault="00000000" w:rsidRPr="00000000" w14:paraId="00000051">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000000" w:rsidDel="00000000" w:rsidP="00000000" w:rsidRDefault="00000000" w:rsidRPr="00000000" w14:paraId="00000052">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Party Processing Personal Data for the purposes of the Contract shall maintain a record of its Processing activities in accordance with Article 30 UK GDPR and shall make the record available to the other Party upon reasonable request.</w:t>
      </w:r>
    </w:p>
    <w:p w:rsidR="00000000" w:rsidDel="00000000" w:rsidP="00000000" w:rsidRDefault="00000000" w:rsidRPr="00000000" w14:paraId="00000053">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receives a request by any Data Subject to exercise any of their rights under the Data Protection Legislation in relation to the Personal Data provided to it by the other Party pursuant to the Contract </w:t>
      </w:r>
      <w:r w:rsidDel="00000000" w:rsidR="00000000" w:rsidRPr="00000000">
        <w:rPr>
          <w:rFonts w:ascii="Arial" w:cs="Arial" w:eastAsia="Arial" w:hAnsi="Arial"/>
          <w:b w:val="1"/>
          <w:sz w:val="24"/>
          <w:szCs w:val="24"/>
          <w:rtl w:val="0"/>
        </w:rPr>
        <w:t xml:space="preserve">(“Request Recipient”)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4">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other Party shall provide any information and/or assistance as reasonably requested by the Request Recipient to help it respond to the request or correspondence, at the cost of the Request Recipient; or</w:t>
      </w:r>
    </w:p>
    <w:p w:rsidR="00000000" w:rsidDel="00000000" w:rsidP="00000000" w:rsidRDefault="00000000" w:rsidRPr="00000000" w14:paraId="00000055">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the request or correspondence is directed to the other Party and/or relates to that other Party's Processing of the Personal Data, the Request Recipient  will:</w:t>
      </w:r>
    </w:p>
    <w:p w:rsidR="00000000" w:rsidDel="00000000" w:rsidP="00000000" w:rsidRDefault="00000000" w:rsidRPr="00000000" w14:paraId="00000056">
      <w:pPr>
        <w:numPr>
          <w:ilvl w:val="3"/>
          <w:numId w:val="6"/>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promptly, and in any event within five (5) Working Days of receipt of the request or correspondence, inform the other Party that it has received the same and shall forward such request or correspondence to the other Party; and</w:t>
      </w:r>
    </w:p>
    <w:p w:rsidR="00000000" w:rsidDel="00000000" w:rsidP="00000000" w:rsidRDefault="00000000" w:rsidRPr="00000000" w14:paraId="00000057">
      <w:pPr>
        <w:numPr>
          <w:ilvl w:val="3"/>
          <w:numId w:val="6"/>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any information and/or assistance as reasonably requested by the other Party to help it respond to the request or correspondence in the timeframes specified by Data Protection Legislation.</w:t>
      </w:r>
    </w:p>
    <w:p w:rsidR="00000000" w:rsidDel="00000000" w:rsidP="00000000" w:rsidRDefault="00000000" w:rsidRPr="00000000" w14:paraId="00000058">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promptly notify the other Party upon it becoming aware of any Personal Data Breach relating to Personal Data provided by the other Party pursuant to the Contract and shall: </w:t>
      </w:r>
    </w:p>
    <w:p w:rsidR="00000000" w:rsidDel="00000000" w:rsidP="00000000" w:rsidRDefault="00000000" w:rsidRPr="00000000" w14:paraId="00000059">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 all such things as reasonably necessary to assist the other Party in mitigating the effects of the Personal Data Breach; </w:t>
      </w:r>
    </w:p>
    <w:p w:rsidR="00000000" w:rsidDel="00000000" w:rsidP="00000000" w:rsidRDefault="00000000" w:rsidRPr="00000000" w14:paraId="0000005A">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implement any measures necessary to restore the security of any compromised Personal Data; </w:t>
      </w:r>
    </w:p>
    <w:p w:rsidR="00000000" w:rsidDel="00000000" w:rsidP="00000000" w:rsidRDefault="00000000" w:rsidRPr="00000000" w14:paraId="0000005B">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work with the other Party to make any required notifications to the Information Commissioner’s Office and affected Data Subjects in accordance with the Data Protection Legislation (including the timeframes set out therein); and</w:t>
      </w:r>
    </w:p>
    <w:p w:rsidR="00000000" w:rsidDel="00000000" w:rsidP="00000000" w:rsidRDefault="00000000" w:rsidRPr="00000000" w14:paraId="0000005C">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do anything which may damage the reputation of the other Party or that Party's relationship with the relevant Data Subjects, save as required by Law. </w:t>
      </w:r>
    </w:p>
    <w:p w:rsidR="00000000" w:rsidDel="00000000" w:rsidP="00000000" w:rsidRDefault="00000000" w:rsidRPr="00000000" w14:paraId="0000005D">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Personal Data provided by one Party to the other Party may be used exclusively to exercise rights and obligations under the Contract as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E">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Personal Data shall not be retained or processed for longer than is necessary to perform each Party’s respective obligations under the Contract which is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F">
      <w:pPr>
        <w:numPr>
          <w:ilvl w:val="1"/>
          <w:numId w:val="6"/>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27 of this Joint Schedule 11.</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28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pStyle w:val="Heading2"/>
        <w:spacing w:after="240" w:before="0" w:lineRule="auto"/>
        <w:ind w:left="709" w:hanging="709"/>
        <w:rPr>
          <w:rFonts w:ascii="Arial" w:cs="Arial" w:eastAsia="Arial" w:hAnsi="Arial"/>
          <w:b w:val="0"/>
          <w:sz w:val="24"/>
          <w:szCs w:val="24"/>
        </w:rPr>
      </w:pPr>
      <w:r w:rsidDel="00000000" w:rsidR="00000000" w:rsidRPr="00000000">
        <w:br w:type="page"/>
      </w:r>
      <w:r w:rsidDel="00000000" w:rsidR="00000000" w:rsidRPr="00000000">
        <w:rPr>
          <w:rFonts w:ascii="Arial" w:cs="Arial" w:eastAsia="Arial" w:hAnsi="Arial"/>
          <w:sz w:val="24"/>
          <w:szCs w:val="24"/>
          <w:rtl w:val="0"/>
        </w:rPr>
        <w:t xml:space="preserve">Annex 1 - Processing Personal Data</w:t>
      </w: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This Annex shall be completed by the Controller, who may take account of the view of the Processors, however the final decision as to the content of this Annex shall be with the Relevant Authority at its absolute discretion.  </w:t>
      </w:r>
    </w:p>
    <w:p w:rsidR="00000000" w:rsidDel="00000000" w:rsidP="00000000" w:rsidRDefault="00000000" w:rsidRPr="00000000" w14:paraId="00000063">
      <w:pPr>
        <w:keepNext w:val="1"/>
        <w:numPr>
          <w:ilvl w:val="3"/>
          <w:numId w:val="8"/>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Relevant Authority’s Data Protection Officer/Manager are: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Contact details]</w:t>
      </w:r>
    </w:p>
    <w:p w:rsidR="00000000" w:rsidDel="00000000" w:rsidP="00000000" w:rsidRDefault="00000000" w:rsidRPr="00000000" w14:paraId="00000064">
      <w:pPr>
        <w:keepNext w:val="1"/>
        <w:numPr>
          <w:ilvl w:val="0"/>
          <w:numId w:val="11"/>
        </w:numPr>
        <w:spacing w:after="0" w:line="240" w:lineRule="auto"/>
        <w:ind w:left="144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Where CCS is the Relevant Authority: Carmel Sutcliffe (Data Protection Manager) - carmel.sutcliffe@crowncommercial.gov.uk</w:t>
      </w:r>
    </w:p>
    <w:p w:rsidR="00000000" w:rsidDel="00000000" w:rsidP="00000000" w:rsidRDefault="00000000" w:rsidRPr="00000000" w14:paraId="00000065">
      <w:pPr>
        <w:keepNext w:val="1"/>
        <w:numPr>
          <w:ilvl w:val="3"/>
          <w:numId w:val="8"/>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Supplier’s Data Protection Officer are: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Contact details]</w:t>
      </w:r>
    </w:p>
    <w:p w:rsidR="00000000" w:rsidDel="00000000" w:rsidP="00000000" w:rsidRDefault="00000000" w:rsidRPr="00000000" w14:paraId="00000066">
      <w:pPr>
        <w:keepNext w:val="1"/>
        <w:numPr>
          <w:ilvl w:val="3"/>
          <w:numId w:val="8"/>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comply with any further written instructions with respect to Processing by the Controller.</w:t>
      </w:r>
    </w:p>
    <w:p w:rsidR="00000000" w:rsidDel="00000000" w:rsidP="00000000" w:rsidRDefault="00000000" w:rsidRPr="00000000" w14:paraId="00000067">
      <w:pPr>
        <w:keepNext w:val="1"/>
        <w:numPr>
          <w:ilvl w:val="3"/>
          <w:numId w:val="8"/>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such further instructions shall be incorporated into this Annex.</w:t>
      </w:r>
    </w:p>
    <w:p w:rsidR="00000000" w:rsidDel="00000000" w:rsidP="00000000" w:rsidRDefault="00000000" w:rsidRPr="00000000" w14:paraId="00000068">
      <w:pPr>
        <w:keepNext w:val="1"/>
        <w:ind w:left="720" w:firstLine="0"/>
        <w:rPr>
          <w:rFonts w:ascii="Arial" w:cs="Arial" w:eastAsia="Arial" w:hAnsi="Arial"/>
          <w:sz w:val="24"/>
          <w:szCs w:val="24"/>
        </w:rPr>
      </w:pPr>
      <w:r w:rsidDel="00000000" w:rsidR="00000000" w:rsidRPr="00000000">
        <w:rPr>
          <w:rtl w:val="0"/>
        </w:rPr>
      </w:r>
    </w:p>
    <w:tbl>
      <w:tblPr>
        <w:tblStyle w:val="Table2"/>
        <w:tblW w:w="96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23"/>
        <w:tblGridChange w:id="0">
          <w:tblGrid>
            <w:gridCol w:w="2263"/>
            <w:gridCol w:w="7423"/>
          </w:tblGrid>
        </w:tblGridChange>
      </w:tblGrid>
      <w:tr>
        <w:trPr>
          <w:cantSplit w:val="0"/>
          <w:trHeight w:val="700" w:hRule="atLeast"/>
          <w:tblHeader w:val="0"/>
        </w:trPr>
        <w:tc>
          <w:tcPr>
            <w:shd w:fill="bfbfbf" w:val="clear"/>
            <w:vAlign w:val="center"/>
          </w:tcPr>
          <w:p w:rsidR="00000000" w:rsidDel="00000000" w:rsidP="00000000" w:rsidRDefault="00000000" w:rsidRPr="00000000" w14:paraId="0000006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bfbfbf" w:val="clear"/>
            <w:vAlign w:val="center"/>
          </w:tcPr>
          <w:p w:rsidR="00000000" w:rsidDel="00000000" w:rsidP="00000000" w:rsidRDefault="00000000" w:rsidRPr="00000000" w14:paraId="0000006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Details</w:t>
            </w:r>
          </w:p>
        </w:tc>
      </w:tr>
      <w:tr>
        <w:trPr>
          <w:cantSplit w:val="0"/>
          <w:trHeight w:val="1620" w:hRule="atLeast"/>
          <w:tblHeader w:val="0"/>
        </w:trPr>
        <w:tc>
          <w:tcPr>
            <w:shd w:fill="auto" w:val="clear"/>
          </w:tcPr>
          <w:p w:rsidR="00000000" w:rsidDel="00000000" w:rsidP="00000000" w:rsidRDefault="00000000" w:rsidRPr="00000000" w14:paraId="0000006B">
            <w:pPr>
              <w:rPr>
                <w:rFonts w:ascii="Arial" w:cs="Arial" w:eastAsia="Arial" w:hAnsi="Arial"/>
                <w:sz w:val="24"/>
                <w:szCs w:val="24"/>
              </w:rPr>
            </w:pPr>
            <w:r w:rsidDel="00000000" w:rsidR="00000000" w:rsidRPr="00000000">
              <w:rPr>
                <w:rFonts w:ascii="Arial" w:cs="Arial" w:eastAsia="Arial" w:hAnsi="Arial"/>
                <w:sz w:val="24"/>
                <w:szCs w:val="24"/>
                <w:rtl w:val="0"/>
              </w:rPr>
              <w:t xml:space="preserve">Identity of Controller for each Category of Personal Data</w:t>
            </w:r>
          </w:p>
        </w:tc>
        <w:tc>
          <w:tcPr>
            <w:shd w:fill="auto" w:val="clear"/>
          </w:tcPr>
          <w:p w:rsidR="00000000" w:rsidDel="00000000" w:rsidP="00000000" w:rsidRDefault="00000000" w:rsidRPr="00000000" w14:paraId="0000006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Relevant Authority is Controller and the Supplier is Processor</w:t>
            </w:r>
          </w:p>
          <w:p w:rsidR="00000000" w:rsidDel="00000000" w:rsidP="00000000" w:rsidRDefault="00000000" w:rsidRPr="00000000" w14:paraId="0000006D">
            <w:pPr>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in accordance with paragraph 2 to paragraph 15 and for the purposes of the Data Protection Legislation, the Relevant Authority is the Controller and the Supplier is the Processor of the following Personal Data:</w:t>
            </w:r>
          </w:p>
          <w:p w:rsidR="00000000" w:rsidDel="00000000" w:rsidP="00000000" w:rsidRDefault="00000000" w:rsidRPr="00000000" w14:paraId="0000006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scope of Personal Data which the purposes and means of the Processing by the Supplier is determined by the Relevant Authority]</w:t>
            </w:r>
          </w:p>
          <w:p w:rsidR="00000000" w:rsidDel="00000000" w:rsidP="00000000" w:rsidRDefault="00000000" w:rsidRPr="00000000" w14:paraId="0000007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Where CCS is the Relevant Authority, the scope of Personal Data includes but is not limited to: Name, Email Address, Phone Number, Organisation, Address of Organisation, contract start/end dates &amp; contract values. Commercially sensitive pricing information may also be collected.</w:t>
            </w:r>
          </w:p>
          <w:p w:rsidR="00000000" w:rsidDel="00000000" w:rsidP="00000000" w:rsidRDefault="00000000" w:rsidRPr="00000000" w14:paraId="0000007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Supplier is Controller and the Relevant Authority is Processor</w:t>
            </w:r>
          </w:p>
          <w:p w:rsidR="00000000" w:rsidDel="00000000" w:rsidP="00000000" w:rsidRDefault="00000000" w:rsidRPr="00000000" w14:paraId="00000073">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4">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for the purposes of the Data Protection Legislation, the Supplier is the Controller and the Relevant Authority is the Processor in accordance with paragraph </w:t>
            </w:r>
            <w:r w:rsidDel="00000000" w:rsidR="00000000" w:rsidRPr="00000000">
              <w:rPr>
                <w:rFonts w:ascii="Arial" w:cs="Arial" w:eastAsia="Arial" w:hAnsi="Arial"/>
                <w:sz w:val="24"/>
                <w:szCs w:val="24"/>
                <w:rtl w:val="0"/>
              </w:rPr>
              <w:t xml:space="preserve">2 </w:t>
            </w:r>
            <w:r w:rsidDel="00000000" w:rsidR="00000000" w:rsidRPr="00000000">
              <w:rPr>
                <w:rFonts w:ascii="Arial" w:cs="Arial" w:eastAsia="Arial" w:hAnsi="Arial"/>
                <w:i w:val="1"/>
                <w:sz w:val="24"/>
                <w:szCs w:val="24"/>
                <w:rtl w:val="0"/>
              </w:rPr>
              <w:t xml:space="preserve">to paragraph 15</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of the following Personal Data:</w:t>
            </w:r>
          </w:p>
          <w:p w:rsidR="00000000" w:rsidDel="00000000" w:rsidP="00000000" w:rsidRDefault="00000000" w:rsidRPr="00000000" w14:paraId="0000007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scope of Personal Data which the purposes and means of the Processing by the Relevant Authority  is determined by the Supplier]</w:t>
            </w:r>
          </w:p>
          <w:p w:rsidR="00000000" w:rsidDel="00000000" w:rsidP="00000000" w:rsidRDefault="00000000" w:rsidRPr="00000000" w14:paraId="00000077">
            <w:pPr>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Parties are Joint Controllers</w:t>
            </w:r>
          </w:p>
          <w:p w:rsidR="00000000" w:rsidDel="00000000" w:rsidP="00000000" w:rsidRDefault="00000000" w:rsidRPr="00000000" w14:paraId="00000079">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A">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they are Joint Controllers for the purposes of the Data Protection Legislation in respect of:</w:t>
            </w:r>
          </w:p>
          <w:p w:rsidR="00000000" w:rsidDel="00000000" w:rsidP="00000000" w:rsidRDefault="00000000" w:rsidRPr="00000000" w14:paraId="0000007B">
            <w:pPr>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scope of Personal Data which the purposes and means of the Processing is determined by the both Parties together]</w:t>
            </w:r>
          </w:p>
          <w:p w:rsidR="00000000" w:rsidDel="00000000" w:rsidP="00000000" w:rsidRDefault="00000000" w:rsidRPr="00000000" w14:paraId="0000007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Where CCS is one of the Parties, the scope of Personal Data includes but is not limited to: Name, Email Address, Phone Number, Organisation, Address of Organisation, contract start/end dates &amp; contract values. Commercially sensitive pricing information may also be collected.</w:t>
            </w:r>
          </w:p>
          <w:p w:rsidR="00000000" w:rsidDel="00000000" w:rsidP="00000000" w:rsidRDefault="00000000" w:rsidRPr="00000000" w14:paraId="0000007E">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F">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8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Parties are Independent Controllers of Personal Data</w:t>
            </w:r>
          </w:p>
          <w:p w:rsidR="00000000" w:rsidDel="00000000" w:rsidP="00000000" w:rsidRDefault="00000000" w:rsidRPr="00000000" w14:paraId="00000081">
            <w:pPr>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082">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they are Independent Controllers for the purposes of the Data Protection Legislation in respect of:</w:t>
            </w:r>
          </w:p>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Business contact details of Supplier Personnel for which the Supplier is the Controller,</w:t>
            </w:r>
          </w:p>
          <w:p w:rsidR="00000000" w:rsidDel="00000000" w:rsidP="00000000" w:rsidRDefault="00000000" w:rsidRPr="00000000" w14:paraId="000000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Business contact details of any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directors, officers, employees, agents, consultants and contractors of Relevant Authority (excluding the Supplier Personnel) engaged in the performance of the Relevant Authority’s duties under the Contract) for which the Relevant Authority is the Controller,</w:t>
            </w:r>
          </w:p>
          <w:p w:rsidR="00000000" w:rsidDel="00000000" w:rsidP="00000000" w:rsidRDefault="00000000" w:rsidRPr="00000000" w14:paraId="000000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[Insert</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Where CCS is one of the Parties and where applicable, the scope of Personal Data includes but is not limited to: Name, Email Address, Phone Number, Organisation, Address of Organisation, contract start/end dates &amp; contract values. Commercially sensitive pricing information may also be collected.</w:t>
            </w:r>
          </w:p>
          <w:p w:rsidR="00000000" w:rsidDel="00000000" w:rsidP="00000000" w:rsidRDefault="00000000" w:rsidRPr="00000000" w14:paraId="00000088">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89">
            <w:pPr>
              <w:rPr>
                <w:rFonts w:ascii="Arial" w:cs="Arial" w:eastAsia="Arial" w:hAnsi="Arial"/>
                <w:i w:val="1"/>
                <w:sz w:val="24"/>
                <w:szCs w:val="24"/>
              </w:rPr>
            </w:pPr>
            <w:r w:rsidDel="00000000" w:rsidR="00000000" w:rsidRPr="00000000">
              <w:rPr>
                <w:rFonts w:ascii="Arial" w:cs="Arial" w:eastAsia="Arial" w:hAnsi="Arial"/>
                <w:b w:val="1"/>
                <w:i w:val="1"/>
                <w:sz w:val="24"/>
                <w:szCs w:val="24"/>
                <w:highlight w:val="yellow"/>
                <w:rtl w:val="0"/>
              </w:rPr>
              <w:t xml:space="preserve">[Guidance</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where multiple relationships have been identified above, please address the below rows in the table for in respect of each relationship identified] </w:t>
            </w:r>
          </w:p>
          <w:p w:rsidR="00000000" w:rsidDel="00000000" w:rsidP="00000000" w:rsidRDefault="00000000" w:rsidRPr="00000000" w14:paraId="0000008A">
            <w:pPr>
              <w:rPr>
                <w:rFonts w:ascii="Arial" w:cs="Arial" w:eastAsia="Arial" w:hAnsi="Arial"/>
                <w:sz w:val="24"/>
                <w:szCs w:val="24"/>
              </w:rPr>
            </w:pPr>
            <w:r w:rsidDel="00000000" w:rsidR="00000000" w:rsidRPr="00000000">
              <w:rPr>
                <w:rtl w:val="0"/>
              </w:rPr>
            </w:r>
          </w:p>
        </w:tc>
      </w:tr>
      <w:tr>
        <w:trPr>
          <w:cantSplit w:val="0"/>
          <w:trHeight w:val="1460" w:hRule="atLeast"/>
          <w:tblHeader w:val="0"/>
        </w:trPr>
        <w:tc>
          <w:tcPr>
            <w:shd w:fill="auto" w:val="clear"/>
          </w:tcPr>
          <w:p w:rsidR="00000000" w:rsidDel="00000000" w:rsidP="00000000" w:rsidRDefault="00000000" w:rsidRPr="00000000" w14:paraId="0000008B">
            <w:pPr>
              <w:rPr>
                <w:rFonts w:ascii="Arial" w:cs="Arial" w:eastAsia="Arial" w:hAnsi="Arial"/>
                <w:sz w:val="24"/>
                <w:szCs w:val="24"/>
              </w:rPr>
            </w:pPr>
            <w:r w:rsidDel="00000000" w:rsidR="00000000" w:rsidRPr="00000000">
              <w:rPr>
                <w:rFonts w:ascii="Arial" w:cs="Arial" w:eastAsia="Arial" w:hAnsi="Arial"/>
                <w:sz w:val="24"/>
                <w:szCs w:val="24"/>
                <w:rtl w:val="0"/>
              </w:rPr>
              <w:t xml:space="preserve">Duration of the Processing</w:t>
            </w:r>
          </w:p>
        </w:tc>
        <w:tc>
          <w:tcPr>
            <w:shd w:fill="auto" w:val="clear"/>
          </w:tcPr>
          <w:p w:rsidR="00000000" w:rsidDel="00000000" w:rsidP="00000000" w:rsidRDefault="00000000" w:rsidRPr="00000000" w14:paraId="0000008C">
            <w:pPr>
              <w:rPr>
                <w:rFonts w:ascii="Arial" w:cs="Arial" w:eastAsia="Arial" w:hAnsi="Arial"/>
                <w:i w:val="1"/>
                <w:sz w:val="24"/>
                <w:szCs w:val="24"/>
                <w:highlight w:val="yellow"/>
              </w:rPr>
            </w:pPr>
            <w:r w:rsidDel="00000000" w:rsidR="00000000" w:rsidRPr="00000000">
              <w:rPr>
                <w:rFonts w:ascii="Arial" w:cs="Arial" w:eastAsia="Arial" w:hAnsi="Arial"/>
                <w:i w:val="1"/>
                <w:sz w:val="24"/>
                <w:szCs w:val="24"/>
                <w:highlight w:val="yellow"/>
                <w:rtl w:val="0"/>
              </w:rPr>
              <w:t xml:space="preserve">[Clearly set out the duration of the Processing including dates]</w:t>
            </w:r>
          </w:p>
          <w:p w:rsidR="00000000" w:rsidDel="00000000" w:rsidP="00000000" w:rsidRDefault="00000000" w:rsidRPr="00000000" w14:paraId="0000008D">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8E">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Where CCS is the Relevant Authority data will be retained for the lifetime of the DPS agreement which commences in January 2023 and for the lifetime of any Orders that may last beyond the DPS expiry date. This includes, but is not limited to, data in respect of the supplier to administer MI collection.</w:t>
            </w:r>
          </w:p>
        </w:tc>
      </w:tr>
      <w:tr>
        <w:trPr>
          <w:cantSplit w:val="0"/>
          <w:trHeight w:val="1520" w:hRule="atLeast"/>
          <w:tblHeader w:val="0"/>
        </w:trPr>
        <w:tc>
          <w:tcPr>
            <w:shd w:fill="auto" w:val="clear"/>
          </w:tcPr>
          <w:p w:rsidR="00000000" w:rsidDel="00000000" w:rsidP="00000000" w:rsidRDefault="00000000" w:rsidRPr="00000000" w14:paraId="0000008F">
            <w:pPr>
              <w:rPr>
                <w:rFonts w:ascii="Arial" w:cs="Arial" w:eastAsia="Arial" w:hAnsi="Arial"/>
                <w:sz w:val="24"/>
                <w:szCs w:val="24"/>
              </w:rPr>
            </w:pPr>
            <w:r w:rsidDel="00000000" w:rsidR="00000000" w:rsidRPr="00000000">
              <w:rPr>
                <w:rFonts w:ascii="Arial" w:cs="Arial" w:eastAsia="Arial" w:hAnsi="Arial"/>
                <w:sz w:val="24"/>
                <w:szCs w:val="24"/>
                <w:rtl w:val="0"/>
              </w:rPr>
              <w:t xml:space="preserve">Nature and purposes of the Processing</w:t>
            </w:r>
          </w:p>
        </w:tc>
        <w:tc>
          <w:tcPr>
            <w:shd w:fill="auto" w:val="clear"/>
          </w:tcPr>
          <w:p w:rsidR="00000000" w:rsidDel="00000000" w:rsidP="00000000" w:rsidRDefault="00000000" w:rsidRPr="00000000" w14:paraId="00000090">
            <w:pPr>
              <w:rPr>
                <w:rFonts w:ascii="Arial" w:cs="Arial" w:eastAsia="Arial" w:hAnsi="Arial"/>
                <w:i w:val="1"/>
                <w:sz w:val="24"/>
                <w:szCs w:val="24"/>
                <w:highlight w:val="yellow"/>
              </w:rPr>
            </w:pPr>
            <w:r w:rsidDel="00000000" w:rsidR="00000000" w:rsidRPr="00000000">
              <w:rPr>
                <w:rFonts w:ascii="Arial" w:cs="Arial" w:eastAsia="Arial" w:hAnsi="Arial"/>
                <w:i w:val="1"/>
                <w:sz w:val="24"/>
                <w:szCs w:val="24"/>
                <w:highlight w:val="yellow"/>
                <w:rtl w:val="0"/>
              </w:rPr>
              <w:t xml:space="preserve">[Please be as specific as possible, but make sure that you cover all intended purposes. </w:t>
            </w:r>
          </w:p>
          <w:p w:rsidR="00000000" w:rsidDel="00000000" w:rsidP="00000000" w:rsidRDefault="00000000" w:rsidRPr="00000000" w14:paraId="00000091">
            <w:pPr>
              <w:rPr>
                <w:rFonts w:ascii="Arial" w:cs="Arial" w:eastAsia="Arial" w:hAnsi="Arial"/>
                <w:i w:val="1"/>
                <w:sz w:val="24"/>
                <w:szCs w:val="24"/>
                <w:highlight w:val="yellow"/>
              </w:rPr>
            </w:pPr>
            <w:r w:rsidDel="00000000" w:rsidR="00000000" w:rsidRPr="00000000">
              <w:rPr>
                <w:rFonts w:ascii="Arial" w:cs="Arial" w:eastAsia="Arial" w:hAnsi="Arial"/>
                <w:i w:val="1"/>
                <w:sz w:val="24"/>
                <w:szCs w:val="24"/>
                <w:highlight w:val="yellow"/>
                <w:rtl w:val="0"/>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000000" w:rsidDel="00000000" w:rsidP="00000000" w:rsidRDefault="00000000" w:rsidRPr="00000000" w14:paraId="00000092">
            <w:pPr>
              <w:rPr>
                <w:rFonts w:ascii="Arial" w:cs="Arial" w:eastAsia="Arial" w:hAnsi="Arial"/>
                <w:i w:val="1"/>
                <w:sz w:val="24"/>
                <w:szCs w:val="24"/>
                <w:highlight w:val="yellow"/>
              </w:rPr>
            </w:pPr>
            <w:r w:rsidDel="00000000" w:rsidR="00000000" w:rsidRPr="00000000">
              <w:rPr>
                <w:rFonts w:ascii="Arial" w:cs="Arial" w:eastAsia="Arial" w:hAnsi="Arial"/>
                <w:i w:val="1"/>
                <w:sz w:val="24"/>
                <w:szCs w:val="24"/>
                <w:highlight w:val="yellow"/>
                <w:rtl w:val="0"/>
              </w:rPr>
              <w:t xml:space="preserve">The purpose might include: employment processing, statutory obligation, recruitment assessment etc]</w:t>
            </w:r>
          </w:p>
          <w:p w:rsidR="00000000" w:rsidDel="00000000" w:rsidP="00000000" w:rsidRDefault="00000000" w:rsidRPr="00000000" w14:paraId="00000093">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94">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Where CCS is the Relevant Authority: </w:t>
            </w:r>
          </w:p>
          <w:p w:rsidR="00000000" w:rsidDel="00000000" w:rsidP="00000000" w:rsidRDefault="00000000" w:rsidRPr="00000000" w14:paraId="00000095">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Collection</w:t>
            </w:r>
          </w:p>
          <w:p w:rsidR="00000000" w:rsidDel="00000000" w:rsidP="00000000" w:rsidRDefault="00000000" w:rsidRPr="00000000" w14:paraId="00000096">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Recording</w:t>
            </w:r>
          </w:p>
          <w:p w:rsidR="00000000" w:rsidDel="00000000" w:rsidP="00000000" w:rsidRDefault="00000000" w:rsidRPr="00000000" w14:paraId="00000097">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Organisation</w:t>
            </w:r>
          </w:p>
          <w:p w:rsidR="00000000" w:rsidDel="00000000" w:rsidP="00000000" w:rsidRDefault="00000000" w:rsidRPr="00000000" w14:paraId="00000098">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Structuring</w:t>
            </w:r>
          </w:p>
          <w:p w:rsidR="00000000" w:rsidDel="00000000" w:rsidP="00000000" w:rsidRDefault="00000000" w:rsidRPr="00000000" w14:paraId="00000099">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Storage</w:t>
            </w:r>
          </w:p>
          <w:p w:rsidR="00000000" w:rsidDel="00000000" w:rsidP="00000000" w:rsidRDefault="00000000" w:rsidRPr="00000000" w14:paraId="0000009A">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Restriction</w:t>
            </w:r>
          </w:p>
          <w:p w:rsidR="00000000" w:rsidDel="00000000" w:rsidP="00000000" w:rsidRDefault="00000000" w:rsidRPr="00000000" w14:paraId="0000009B">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Erasure</w:t>
            </w:r>
          </w:p>
          <w:p w:rsidR="00000000" w:rsidDel="00000000" w:rsidP="00000000" w:rsidRDefault="00000000" w:rsidRPr="00000000" w14:paraId="0000009C">
            <w:pPr>
              <w:rPr>
                <w:rFonts w:ascii="Arial" w:cs="Arial" w:eastAsia="Arial" w:hAnsi="Arial"/>
                <w:i w:val="1"/>
                <w:sz w:val="24"/>
                <w:szCs w:val="24"/>
                <w:highlight w:val="white"/>
              </w:rPr>
            </w:pPr>
            <w:r w:rsidDel="00000000" w:rsidR="00000000" w:rsidRPr="00000000">
              <w:rPr>
                <w:rtl w:val="0"/>
              </w:rPr>
            </w:r>
          </w:p>
          <w:p w:rsidR="00000000" w:rsidDel="00000000" w:rsidP="00000000" w:rsidRDefault="00000000" w:rsidRPr="00000000" w14:paraId="0000009D">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Purpose of processing - Public task: the processing is necessary for the team to perform a task in the public interest or for their official functions, and the task or function has a clear basis in law.</w:t>
            </w:r>
          </w:p>
          <w:p w:rsidR="00000000" w:rsidDel="00000000" w:rsidP="00000000" w:rsidRDefault="00000000" w:rsidRPr="00000000" w14:paraId="0000009E">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9F">
            <w:pPr>
              <w:rPr>
                <w:rFonts w:ascii="Arial" w:cs="Arial" w:eastAsia="Arial" w:hAnsi="Arial"/>
                <w:i w:val="1"/>
                <w:sz w:val="24"/>
                <w:szCs w:val="24"/>
              </w:rPr>
            </w:pPr>
            <w:r w:rsidDel="00000000" w:rsidR="00000000" w:rsidRPr="00000000">
              <w:rPr>
                <w:rtl w:val="0"/>
              </w:rPr>
            </w:r>
          </w:p>
        </w:tc>
      </w:tr>
      <w:tr>
        <w:trPr>
          <w:cantSplit w:val="0"/>
          <w:trHeight w:val="1400" w:hRule="atLeast"/>
          <w:tblHeader w:val="0"/>
        </w:trPr>
        <w:tc>
          <w:tcPr>
            <w:shd w:fill="auto" w:val="clear"/>
          </w:tcPr>
          <w:p w:rsidR="00000000" w:rsidDel="00000000" w:rsidP="00000000" w:rsidRDefault="00000000" w:rsidRPr="00000000" w14:paraId="000000A0">
            <w:pPr>
              <w:rPr>
                <w:rFonts w:ascii="Arial" w:cs="Arial" w:eastAsia="Arial" w:hAnsi="Arial"/>
                <w:sz w:val="24"/>
                <w:szCs w:val="24"/>
              </w:rPr>
            </w:pPr>
            <w:r w:rsidDel="00000000" w:rsidR="00000000" w:rsidRPr="00000000">
              <w:rPr>
                <w:rFonts w:ascii="Arial" w:cs="Arial" w:eastAsia="Arial" w:hAnsi="Arial"/>
                <w:sz w:val="24"/>
                <w:szCs w:val="24"/>
                <w:rtl w:val="0"/>
              </w:rPr>
              <w:t xml:space="preserve">Type of Personal Data</w:t>
            </w:r>
          </w:p>
        </w:tc>
        <w:tc>
          <w:tcPr>
            <w:shd w:fill="auto" w:val="clear"/>
          </w:tcPr>
          <w:p w:rsidR="00000000" w:rsidDel="00000000" w:rsidP="00000000" w:rsidRDefault="00000000" w:rsidRPr="00000000" w14:paraId="000000A1">
            <w:pPr>
              <w:rPr>
                <w:rFonts w:ascii="Arial" w:cs="Arial" w:eastAsia="Arial" w:hAnsi="Arial"/>
                <w:i w:val="1"/>
                <w:sz w:val="24"/>
                <w:szCs w:val="24"/>
                <w:highlight w:val="yellow"/>
              </w:rPr>
            </w:pPr>
            <w:r w:rsidDel="00000000" w:rsidR="00000000" w:rsidRPr="00000000">
              <w:rPr>
                <w:rFonts w:ascii="Arial" w:cs="Arial" w:eastAsia="Arial" w:hAnsi="Arial"/>
                <w:i w:val="1"/>
                <w:sz w:val="24"/>
                <w:szCs w:val="24"/>
                <w:highlight w:val="yellow"/>
                <w:rtl w:val="0"/>
              </w:rPr>
              <w:t xml:space="preserve">[Examples here include: name, address, date of birth, NI number, telephone number, pay, images, biometric data etc]</w:t>
            </w:r>
          </w:p>
          <w:p w:rsidR="00000000" w:rsidDel="00000000" w:rsidP="00000000" w:rsidRDefault="00000000" w:rsidRPr="00000000" w14:paraId="000000A2">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A3">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Where CCS is the Relevant Authority, the type of Personal Data includes but is not limited to: Name, Email Address, Phone Number, Organisation, Address of Organisation, contract start/end dates &amp; contract values. Commercially sensitive pricing information may also be collected.</w:t>
            </w:r>
          </w:p>
          <w:p w:rsidR="00000000" w:rsidDel="00000000" w:rsidP="00000000" w:rsidRDefault="00000000" w:rsidRPr="00000000" w14:paraId="000000A4">
            <w:pPr>
              <w:rPr>
                <w:rFonts w:ascii="Arial" w:cs="Arial" w:eastAsia="Arial" w:hAnsi="Arial"/>
                <w:i w:val="1"/>
                <w:sz w:val="24"/>
                <w:szCs w:val="24"/>
              </w:rPr>
            </w:pPr>
            <w:r w:rsidDel="00000000" w:rsidR="00000000" w:rsidRPr="00000000">
              <w:rPr>
                <w:rtl w:val="0"/>
              </w:rPr>
            </w:r>
          </w:p>
        </w:tc>
      </w:tr>
      <w:tr>
        <w:trPr>
          <w:cantSplit w:val="0"/>
          <w:trHeight w:val="1560" w:hRule="atLeast"/>
          <w:tblHeader w:val="0"/>
        </w:trPr>
        <w:tc>
          <w:tcPr>
            <w:shd w:fill="auto" w:val="clear"/>
          </w:tcPr>
          <w:p w:rsidR="00000000" w:rsidDel="00000000" w:rsidP="00000000" w:rsidRDefault="00000000" w:rsidRPr="00000000" w14:paraId="000000A5">
            <w:pPr>
              <w:rPr>
                <w:rFonts w:ascii="Arial" w:cs="Arial" w:eastAsia="Arial" w:hAnsi="Arial"/>
                <w:sz w:val="24"/>
                <w:szCs w:val="24"/>
              </w:rPr>
            </w:pPr>
            <w:r w:rsidDel="00000000" w:rsidR="00000000" w:rsidRPr="00000000">
              <w:rPr>
                <w:rFonts w:ascii="Arial" w:cs="Arial" w:eastAsia="Arial" w:hAnsi="Arial"/>
                <w:sz w:val="24"/>
                <w:szCs w:val="24"/>
                <w:rtl w:val="0"/>
              </w:rPr>
              <w:t xml:space="preserve">Categories of Data Subject</w:t>
            </w:r>
          </w:p>
        </w:tc>
        <w:tc>
          <w:tcPr>
            <w:shd w:fill="auto" w:val="clear"/>
          </w:tcPr>
          <w:p w:rsidR="00000000" w:rsidDel="00000000" w:rsidP="00000000" w:rsidRDefault="00000000" w:rsidRPr="00000000" w14:paraId="000000A6">
            <w:pPr>
              <w:rPr>
                <w:rFonts w:ascii="Arial" w:cs="Arial" w:eastAsia="Arial" w:hAnsi="Arial"/>
                <w:i w:val="1"/>
                <w:sz w:val="24"/>
                <w:szCs w:val="24"/>
                <w:highlight w:val="yellow"/>
              </w:rPr>
            </w:pPr>
            <w:r w:rsidDel="00000000" w:rsidR="00000000" w:rsidRPr="00000000">
              <w:rPr>
                <w:rFonts w:ascii="Arial" w:cs="Arial" w:eastAsia="Arial" w:hAnsi="Arial"/>
                <w:i w:val="1"/>
                <w:sz w:val="24"/>
                <w:szCs w:val="24"/>
                <w:highlight w:val="yellow"/>
                <w:rtl w:val="0"/>
              </w:rPr>
              <w:t xml:space="preserve">[Examples include: Staff (including volunteers, agents, and temporary workers), customers/ clients, suppliers, patients, students / pupils, members of the public, users of a particular</w:t>
              <w:br w:type="textWrapping"/>
              <w:t xml:space="preserve">website etc]</w:t>
            </w:r>
          </w:p>
          <w:p w:rsidR="00000000" w:rsidDel="00000000" w:rsidP="00000000" w:rsidRDefault="00000000" w:rsidRPr="00000000" w14:paraId="000000A7">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A8">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Where CCS is the Relevant Authority:</w:t>
            </w:r>
          </w:p>
          <w:p w:rsidR="00000000" w:rsidDel="00000000" w:rsidP="00000000" w:rsidRDefault="00000000" w:rsidRPr="00000000" w14:paraId="000000A9">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Customer staff</w:t>
            </w:r>
          </w:p>
          <w:p w:rsidR="00000000" w:rsidDel="00000000" w:rsidP="00000000" w:rsidRDefault="00000000" w:rsidRPr="00000000" w14:paraId="000000AA">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Supplier staff</w:t>
            </w:r>
          </w:p>
          <w:p w:rsidR="00000000" w:rsidDel="00000000" w:rsidP="00000000" w:rsidRDefault="00000000" w:rsidRPr="00000000" w14:paraId="000000AB">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CCS staff</w:t>
            </w:r>
          </w:p>
          <w:p w:rsidR="00000000" w:rsidDel="00000000" w:rsidP="00000000" w:rsidRDefault="00000000" w:rsidRPr="00000000" w14:paraId="000000AC">
            <w:pPr>
              <w:rPr>
                <w:rFonts w:ascii="Arial" w:cs="Arial" w:eastAsia="Arial" w:hAnsi="Arial"/>
                <w:i w:val="1"/>
                <w:sz w:val="24"/>
                <w:szCs w:val="24"/>
              </w:rPr>
            </w:pPr>
            <w:r w:rsidDel="00000000" w:rsidR="00000000" w:rsidRPr="00000000">
              <w:rPr>
                <w:rtl w:val="0"/>
              </w:rPr>
            </w:r>
          </w:p>
        </w:tc>
      </w:tr>
      <w:tr>
        <w:trPr>
          <w:cantSplit w:val="0"/>
          <w:trHeight w:val="1660" w:hRule="atLeast"/>
          <w:tblHeader w:val="0"/>
        </w:trPr>
        <w:tc>
          <w:tcPr>
            <w:shd w:fill="auto" w:val="clear"/>
          </w:tcPr>
          <w:p w:rsidR="00000000" w:rsidDel="00000000" w:rsidP="00000000" w:rsidRDefault="00000000" w:rsidRPr="00000000" w14:paraId="000000AD">
            <w:pPr>
              <w:rPr>
                <w:rFonts w:ascii="Arial" w:cs="Arial" w:eastAsia="Arial" w:hAnsi="Arial"/>
                <w:sz w:val="24"/>
                <w:szCs w:val="24"/>
              </w:rPr>
            </w:pPr>
            <w:r w:rsidDel="00000000" w:rsidR="00000000" w:rsidRPr="00000000">
              <w:rPr>
                <w:rFonts w:ascii="Arial" w:cs="Arial" w:eastAsia="Arial" w:hAnsi="Arial"/>
                <w:sz w:val="24"/>
                <w:szCs w:val="24"/>
                <w:rtl w:val="0"/>
              </w:rPr>
              <w:t xml:space="preserve">Plan for return and destruction of the data once the Processing is complete</w:t>
            </w:r>
          </w:p>
          <w:p w:rsidR="00000000" w:rsidDel="00000000" w:rsidP="00000000" w:rsidRDefault="00000000" w:rsidRPr="00000000" w14:paraId="000000AE">
            <w:pPr>
              <w:rPr>
                <w:rFonts w:ascii="Arial" w:cs="Arial" w:eastAsia="Arial" w:hAnsi="Arial"/>
                <w:sz w:val="24"/>
                <w:szCs w:val="24"/>
              </w:rPr>
            </w:pPr>
            <w:r w:rsidDel="00000000" w:rsidR="00000000" w:rsidRPr="00000000">
              <w:rPr>
                <w:rFonts w:ascii="Arial" w:cs="Arial" w:eastAsia="Arial" w:hAnsi="Arial"/>
                <w:sz w:val="24"/>
                <w:szCs w:val="24"/>
                <w:rtl w:val="0"/>
              </w:rPr>
              <w:t xml:space="preserve">UNLESS requirement under Union or Member State law to preserve that type of data</w:t>
            </w:r>
          </w:p>
        </w:tc>
        <w:tc>
          <w:tcPr>
            <w:shd w:fill="auto" w:val="clear"/>
          </w:tcPr>
          <w:p w:rsidR="00000000" w:rsidDel="00000000" w:rsidP="00000000" w:rsidRDefault="00000000" w:rsidRPr="00000000" w14:paraId="000000AF">
            <w:pPr>
              <w:rPr>
                <w:rFonts w:ascii="Arial" w:cs="Arial" w:eastAsia="Arial" w:hAnsi="Arial"/>
                <w:i w:val="1"/>
                <w:sz w:val="24"/>
                <w:szCs w:val="24"/>
                <w:highlight w:val="yellow"/>
              </w:rPr>
            </w:pPr>
            <w:r w:rsidDel="00000000" w:rsidR="00000000" w:rsidRPr="00000000">
              <w:rPr>
                <w:rFonts w:ascii="Arial" w:cs="Arial" w:eastAsia="Arial" w:hAnsi="Arial"/>
                <w:i w:val="1"/>
                <w:sz w:val="24"/>
                <w:szCs w:val="24"/>
                <w:highlight w:val="yellow"/>
                <w:rtl w:val="0"/>
              </w:rPr>
              <w:t xml:space="preserve">[Describe how long the data will be retained for, how it be returned or destroyed]</w:t>
            </w:r>
          </w:p>
          <w:p w:rsidR="00000000" w:rsidDel="00000000" w:rsidP="00000000" w:rsidRDefault="00000000" w:rsidRPr="00000000" w14:paraId="000000B0">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B1">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Where CCS is the Relevant Authority data will be retained for the lifetime of the DPS agreement which commences in January 2023 and for the lifetime of any Orders that may last beyond the DPS expiry date. This includes data in respect of the supplier to administer MI collection. Upon expiry of the DPS or DPS Order, the process for return and destruction of the data will be agreed in writing between the Relevant Authority and the Supplier. </w:t>
            </w:r>
          </w:p>
          <w:p w:rsidR="00000000" w:rsidDel="00000000" w:rsidP="00000000" w:rsidRDefault="00000000" w:rsidRPr="00000000" w14:paraId="000000B2">
            <w:pPr>
              <w:rPr>
                <w:rFonts w:ascii="Arial" w:cs="Arial" w:eastAsia="Arial" w:hAnsi="Arial"/>
                <w:i w:val="1"/>
                <w:sz w:val="24"/>
                <w:szCs w:val="24"/>
                <w:highlight w:val="white"/>
              </w:rPr>
            </w:pPr>
            <w:r w:rsidDel="00000000" w:rsidR="00000000" w:rsidRPr="00000000">
              <w:rPr>
                <w:rtl w:val="0"/>
              </w:rPr>
            </w:r>
          </w:p>
          <w:p w:rsidR="00000000" w:rsidDel="00000000" w:rsidP="00000000" w:rsidRDefault="00000000" w:rsidRPr="00000000" w14:paraId="000000B3">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w:t>
            </w:r>
          </w:p>
          <w:p w:rsidR="00000000" w:rsidDel="00000000" w:rsidP="00000000" w:rsidRDefault="00000000" w:rsidRPr="00000000" w14:paraId="000000B4">
            <w:pPr>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Agreement), and taking all further actions as may be necessary to ensure its compliance with Data Protection Legislation and its privacy policy.</w:t>
            </w:r>
          </w:p>
          <w:p w:rsidR="00000000" w:rsidDel="00000000" w:rsidP="00000000" w:rsidRDefault="00000000" w:rsidRPr="00000000" w14:paraId="000000B5">
            <w:pPr>
              <w:rPr>
                <w:rFonts w:ascii="Arial" w:cs="Arial" w:eastAsia="Arial" w:hAnsi="Arial"/>
                <w:i w:val="1"/>
                <w:sz w:val="24"/>
                <w:szCs w:val="24"/>
                <w:shd w:fill="c9daf8" w:val="clear"/>
              </w:rPr>
            </w:pPr>
            <w:r w:rsidDel="00000000" w:rsidR="00000000" w:rsidRPr="00000000">
              <w:rPr>
                <w:rtl w:val="0"/>
              </w:rPr>
            </w:r>
          </w:p>
        </w:tc>
      </w:tr>
    </w:tbl>
    <w:p w:rsidR="00000000" w:rsidDel="00000000" w:rsidP="00000000" w:rsidRDefault="00000000" w:rsidRPr="00000000" w14:paraId="000000B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Annex 2 - Joint Controller Agreement</w:t>
      </w:r>
      <w:r w:rsidDel="00000000" w:rsidR="00000000" w:rsidRPr="00000000">
        <w:rPr>
          <w:rtl w:val="0"/>
        </w:rPr>
      </w:r>
    </w:p>
    <w:p w:rsidR="00000000" w:rsidDel="00000000" w:rsidP="00000000" w:rsidRDefault="00000000" w:rsidRPr="00000000" w14:paraId="000000B9">
      <w:pPr>
        <w:keepNext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Joint Controller Status and Allocation of Responsibilities </w:t>
      </w:r>
    </w:p>
    <w:p w:rsidR="00000000" w:rsidDel="00000000" w:rsidP="00000000" w:rsidRDefault="00000000" w:rsidRPr="00000000" w14:paraId="000000BA">
      <w:pPr>
        <w:keepNext w:val="1"/>
        <w:rPr>
          <w:rFonts w:ascii="Arial" w:cs="Arial" w:eastAsia="Arial" w:hAnsi="Arial"/>
          <w:sz w:val="24"/>
          <w:szCs w:val="24"/>
        </w:rPr>
      </w:pPr>
      <w:r w:rsidDel="00000000" w:rsidR="00000000" w:rsidRPr="00000000">
        <w:rPr>
          <w:rFonts w:ascii="Arial" w:cs="Arial" w:eastAsia="Arial" w:hAnsi="Arial"/>
          <w:sz w:val="24"/>
          <w:szCs w:val="24"/>
          <w:rtl w:val="0"/>
        </w:rPr>
        <w:t xml:space="preserve">1.1</w:t>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Legislation in respect of their Processing of such Personal Data as Data Controllers. </w:t>
      </w:r>
    </w:p>
    <w:p w:rsidR="00000000" w:rsidDel="00000000" w:rsidP="00000000" w:rsidRDefault="00000000" w:rsidRPr="00000000" w14:paraId="000000BB">
      <w:pPr>
        <w:keepNext w:val="1"/>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1.2 The Parties agree that the </w:t>
      </w:r>
      <w:r w:rsidDel="00000000" w:rsidR="00000000" w:rsidRPr="00000000">
        <w:rPr>
          <w:rFonts w:ascii="Arial" w:cs="Arial" w:eastAsia="Arial" w:hAnsi="Arial"/>
          <w:sz w:val="24"/>
          <w:szCs w:val="24"/>
          <w:highlight w:val="yellow"/>
          <w:rtl w:val="0"/>
        </w:rPr>
        <w:t xml:space="preserve">[Supplier/Relevant Authority]: </w:t>
      </w:r>
      <w:r w:rsidDel="00000000" w:rsidR="00000000" w:rsidRPr="00000000">
        <w:rPr>
          <w:rtl w:val="0"/>
        </w:rPr>
      </w:r>
    </w:p>
    <w:p w:rsidR="00000000" w:rsidDel="00000000" w:rsidP="00000000" w:rsidRDefault="00000000" w:rsidRPr="00000000" w14:paraId="000000BC">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is the </w:t>
      </w:r>
      <w:r w:rsidDel="00000000" w:rsidR="00000000" w:rsidRPr="00000000">
        <w:rPr>
          <w:rFonts w:ascii="Arial" w:cs="Arial" w:eastAsia="Arial" w:hAnsi="Arial"/>
          <w:sz w:val="24"/>
          <w:szCs w:val="24"/>
          <w:rtl w:val="0"/>
        </w:rPr>
        <w:t xml:space="preserve">exclusive</w:t>
      </w:r>
      <w:r w:rsidDel="00000000" w:rsidR="00000000" w:rsidRPr="00000000">
        <w:rPr>
          <w:rFonts w:ascii="Arial" w:cs="Arial" w:eastAsia="Arial" w:hAnsi="Arial"/>
          <w:sz w:val="24"/>
          <w:szCs w:val="24"/>
          <w:highlight w:val="white"/>
          <w:rtl w:val="0"/>
        </w:rPr>
        <w:t xml:space="preserve"> point of contact for Data Subjects and is responsible for all steps necessary to comply with the UK GDPR regarding the exercise by Data Subjects of their rights under the UK GDPR;</w:t>
      </w:r>
    </w:p>
    <w:p w:rsidR="00000000" w:rsidDel="00000000" w:rsidP="00000000" w:rsidRDefault="00000000" w:rsidRPr="00000000" w14:paraId="000000BD">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shall direct Data Subjects to its Data Protection Officer or suitable alternative in connection with the exercise of their rights as Data Subjects and for any enquiries concerning their Personal Data or privacy;</w:t>
      </w:r>
    </w:p>
    <w:p w:rsidR="00000000" w:rsidDel="00000000" w:rsidP="00000000" w:rsidRDefault="00000000" w:rsidRPr="00000000" w14:paraId="000000BE">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solely responsible for the Parties’ compliance with all duties to provide information to Data Subjects under Articles 13 and 14 of the UK GDPR;</w:t>
      </w:r>
    </w:p>
    <w:p w:rsidR="00000000" w:rsidDel="00000000" w:rsidP="00000000" w:rsidRDefault="00000000" w:rsidRPr="00000000" w14:paraId="000000BF">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responsible for obtaining the informed consent of Data Subjects, in accordance with the UK GDPR, for Processing in connection with the Deliverables where consent is the relevant legal basis for that Processing; and</w:t>
      </w:r>
    </w:p>
    <w:p w:rsidR="00000000" w:rsidDel="00000000" w:rsidP="00000000" w:rsidRDefault="00000000" w:rsidRPr="00000000" w14:paraId="000000C0">
      <w:pPr>
        <w:numPr>
          <w:ilvl w:val="2"/>
          <w:numId w:val="6"/>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rsidR="00000000" w:rsidDel="00000000" w:rsidP="00000000" w:rsidRDefault="00000000" w:rsidRPr="00000000" w14:paraId="000000C1">
      <w:pPr>
        <w:rPr>
          <w:rFonts w:ascii="Arial" w:cs="Arial" w:eastAsia="Arial" w:hAnsi="Arial"/>
          <w:sz w:val="24"/>
          <w:szCs w:val="24"/>
        </w:rPr>
      </w:pPr>
      <w:r w:rsidDel="00000000" w:rsidR="00000000" w:rsidRPr="00000000">
        <w:rPr>
          <w:rFonts w:ascii="Arial" w:cs="Arial" w:eastAsia="Arial" w:hAnsi="Arial"/>
          <w:sz w:val="24"/>
          <w:szCs w:val="24"/>
          <w:rtl w:val="0"/>
        </w:rPr>
        <w:t xml:space="preserve">1.3 Notwithstanding the terms of clause 1.2, the Parties acknowledge that a Data Subject has the right to exercise their legal rights under the Data Protection Legislation as against the relevant Party as Controller.</w:t>
      </w:r>
    </w:p>
    <w:p w:rsidR="00000000" w:rsidDel="00000000" w:rsidP="00000000" w:rsidRDefault="00000000" w:rsidRPr="00000000" w14:paraId="000000C2">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Undertakings of both Parties</w:t>
      </w:r>
    </w:p>
    <w:p w:rsidR="00000000" w:rsidDel="00000000" w:rsidP="00000000" w:rsidRDefault="00000000" w:rsidRPr="00000000" w14:paraId="000000C3">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and the Relevant Authority each undertake that they shall: </w:t>
      </w:r>
    </w:p>
    <w:p w:rsidR="00000000" w:rsidDel="00000000" w:rsidP="00000000" w:rsidRDefault="00000000" w:rsidRPr="00000000" w14:paraId="000000C4">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report to the other Party every </w:t>
      </w:r>
      <w:r w:rsidDel="00000000" w:rsidR="00000000" w:rsidRPr="00000000">
        <w:rPr>
          <w:rFonts w:ascii="Arial" w:cs="Arial" w:eastAsia="Arial" w:hAnsi="Arial"/>
          <w:sz w:val="24"/>
          <w:szCs w:val="24"/>
          <w:highlight w:val="yellow"/>
          <w:rtl w:val="0"/>
        </w:rPr>
        <w:t xml:space="preserve">[x]</w:t>
      </w:r>
      <w:r w:rsidDel="00000000" w:rsidR="00000000" w:rsidRPr="00000000">
        <w:rPr>
          <w:rFonts w:ascii="Arial" w:cs="Arial" w:eastAsia="Arial" w:hAnsi="Arial"/>
          <w:sz w:val="24"/>
          <w:szCs w:val="24"/>
          <w:rtl w:val="0"/>
        </w:rPr>
        <w:t xml:space="preserve"> months on:</w:t>
      </w:r>
    </w:p>
    <w:p w:rsidR="00000000" w:rsidDel="00000000" w:rsidP="00000000" w:rsidRDefault="00000000" w:rsidRPr="00000000" w14:paraId="000000C5">
      <w:pPr>
        <w:numPr>
          <w:ilvl w:val="3"/>
          <w:numId w:val="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volume of Data Subject Access Request (or purported Data Subject  Access Requests) from Data Subjects (or third parties on their behalf);</w:t>
      </w:r>
    </w:p>
    <w:p w:rsidR="00000000" w:rsidDel="00000000" w:rsidP="00000000" w:rsidRDefault="00000000" w:rsidRPr="00000000" w14:paraId="000000C6">
      <w:pPr>
        <w:numPr>
          <w:ilvl w:val="3"/>
          <w:numId w:val="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volume of requests from Data Subjects (or third parties on their behalf) to rectify, block or erase any Personal Data; </w:t>
      </w:r>
    </w:p>
    <w:p w:rsidR="00000000" w:rsidDel="00000000" w:rsidP="00000000" w:rsidRDefault="00000000" w:rsidRPr="00000000" w14:paraId="000000C7">
      <w:pPr>
        <w:numPr>
          <w:ilvl w:val="3"/>
          <w:numId w:val="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other requests, complaints or communications from Data Subjects (or third parties on their behalf) relating to the other Party’s obligations under applicable Data Protection Legislation;</w:t>
      </w:r>
    </w:p>
    <w:p w:rsidR="00000000" w:rsidDel="00000000" w:rsidP="00000000" w:rsidRDefault="00000000" w:rsidRPr="00000000" w14:paraId="000000C8">
      <w:pPr>
        <w:numPr>
          <w:ilvl w:val="3"/>
          <w:numId w:val="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communications from the Information Commissioner or any other regulatory authority in connection with Personal Data; and</w:t>
      </w:r>
    </w:p>
    <w:p w:rsidR="00000000" w:rsidDel="00000000" w:rsidP="00000000" w:rsidRDefault="00000000" w:rsidRPr="00000000" w14:paraId="000000C9">
      <w:pPr>
        <w:numPr>
          <w:ilvl w:val="3"/>
          <w:numId w:val="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requests from any third party for disclosure of Personal Data where compliance with such request is required or purported to be required by Law,</w:t>
      </w:r>
    </w:p>
    <w:p w:rsidR="00000000" w:rsidDel="00000000" w:rsidP="00000000" w:rsidRDefault="00000000" w:rsidRPr="00000000" w14:paraId="000000CA">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that it has received in relation to the subject matter of the Contract during that period; </w:t>
      </w:r>
    </w:p>
    <w:p w:rsidR="00000000" w:rsidDel="00000000" w:rsidP="00000000" w:rsidRDefault="00000000" w:rsidRPr="00000000" w14:paraId="000000CB">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notify each other immediately if it receives any request, complaint or communication made as referred to in Clauses 2.1(a)(i) to (v); </w:t>
      </w:r>
    </w:p>
    <w:p w:rsidR="00000000" w:rsidDel="00000000" w:rsidP="00000000" w:rsidRDefault="00000000" w:rsidRPr="00000000" w14:paraId="000000CC">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w:t>
      </w:r>
    </w:p>
    <w:p w:rsidR="00000000" w:rsidDel="00000000" w:rsidP="00000000" w:rsidRDefault="00000000" w:rsidRPr="00000000" w14:paraId="000000CD">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rsidR="00000000" w:rsidDel="00000000" w:rsidP="00000000" w:rsidRDefault="00000000" w:rsidRPr="00000000" w14:paraId="000000CE">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request from the Data Subject only the minimum information necessary to provide the Deliverables and treat such extracted information as Confidential Information;</w:t>
      </w:r>
    </w:p>
    <w:p w:rsidR="00000000" w:rsidDel="00000000" w:rsidP="00000000" w:rsidRDefault="00000000" w:rsidRPr="00000000" w14:paraId="000000CF">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000000" w:rsidDel="00000000" w:rsidP="00000000" w:rsidRDefault="00000000" w:rsidRPr="00000000" w14:paraId="000000D0">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take all reasonable steps to ensure the reliability and integrity of any of its Personnel who have access to the Personal Data and ensure that its Personnel:</w:t>
      </w:r>
    </w:p>
    <w:p w:rsidR="00000000" w:rsidDel="00000000" w:rsidP="00000000" w:rsidRDefault="00000000" w:rsidRPr="00000000" w14:paraId="000000D1">
      <w:pPr>
        <w:numPr>
          <w:ilvl w:val="3"/>
          <w:numId w:val="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aware of and comply with their duties under this Annex 2 (Joint Controller Agreement) and those in respect of Confidential Information; </w:t>
      </w:r>
    </w:p>
    <w:p w:rsidR="00000000" w:rsidDel="00000000" w:rsidP="00000000" w:rsidRDefault="00000000" w:rsidRPr="00000000" w14:paraId="000000D2">
      <w:pPr>
        <w:numPr>
          <w:ilvl w:val="3"/>
          <w:numId w:val="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and</w:t>
      </w:r>
    </w:p>
    <w:p w:rsidR="00000000" w:rsidDel="00000000" w:rsidP="00000000" w:rsidRDefault="00000000" w:rsidRPr="00000000" w14:paraId="000000D3">
      <w:pPr>
        <w:numPr>
          <w:ilvl w:val="3"/>
          <w:numId w:val="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undergone adequate training in the use, care, protection and handling of personal data as required by the applicable Data Protection Legislation;</w:t>
      </w:r>
    </w:p>
    <w:p w:rsidR="00000000" w:rsidDel="00000000" w:rsidP="00000000" w:rsidRDefault="00000000" w:rsidRPr="00000000" w14:paraId="000000D4">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in place Protective Measures as appropriate to protect against a Personal Data Breach having taken account of the:</w:t>
      </w:r>
    </w:p>
    <w:p w:rsidR="00000000" w:rsidDel="00000000" w:rsidP="00000000" w:rsidRDefault="00000000" w:rsidRPr="00000000" w14:paraId="000000D5">
      <w:pPr>
        <w:numPr>
          <w:ilvl w:val="3"/>
          <w:numId w:val="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of the data to be protected;</w:t>
      </w:r>
    </w:p>
    <w:p w:rsidR="00000000" w:rsidDel="00000000" w:rsidP="00000000" w:rsidRDefault="00000000" w:rsidRPr="00000000" w14:paraId="000000D6">
      <w:pPr>
        <w:numPr>
          <w:ilvl w:val="3"/>
          <w:numId w:val="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harm that might result from a Personal Data Breach;</w:t>
      </w:r>
    </w:p>
    <w:p w:rsidR="00000000" w:rsidDel="00000000" w:rsidP="00000000" w:rsidRDefault="00000000" w:rsidRPr="00000000" w14:paraId="000000D7">
      <w:pPr>
        <w:numPr>
          <w:ilvl w:val="3"/>
          <w:numId w:val="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of technological development; and</w:t>
      </w:r>
    </w:p>
    <w:p w:rsidR="00000000" w:rsidDel="00000000" w:rsidP="00000000" w:rsidRDefault="00000000" w:rsidRPr="00000000" w14:paraId="000000D8">
      <w:pPr>
        <w:numPr>
          <w:ilvl w:val="3"/>
          <w:numId w:val="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of implementing any measures;</w:t>
      </w:r>
    </w:p>
    <w:p w:rsidR="00000000" w:rsidDel="00000000" w:rsidP="00000000" w:rsidRDefault="00000000" w:rsidRPr="00000000" w14:paraId="000000D9">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the capability (whether technological or otherwise), to the extent required by Data Protection Legislation, to provide or correct or delete at the request of a Data Subject all the Personal Data relating to that Data Subject that it holds; and</w:t>
      </w:r>
    </w:p>
    <w:p w:rsidR="00000000" w:rsidDel="00000000" w:rsidP="00000000" w:rsidRDefault="00000000" w:rsidRPr="00000000" w14:paraId="000000DA">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notifies the other Party as soon as it becomes aware of a Personal Data Breach. </w:t>
      </w:r>
    </w:p>
    <w:p w:rsidR="00000000" w:rsidDel="00000000" w:rsidP="00000000" w:rsidRDefault="00000000" w:rsidRPr="00000000" w14:paraId="000000DB">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000000" w:rsidDel="00000000" w:rsidP="00000000" w:rsidRDefault="00000000" w:rsidRPr="00000000" w14:paraId="000000DC">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Protection Breach</w:t>
      </w:r>
    </w:p>
    <w:p w:rsidR="00000000" w:rsidDel="00000000" w:rsidP="00000000" w:rsidRDefault="00000000" w:rsidRPr="00000000" w14:paraId="000000DD">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000000" w:rsidDel="00000000" w:rsidP="00000000" w:rsidRDefault="00000000" w:rsidRPr="00000000" w14:paraId="000000DE">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sufficient information and in a timescale which allows the other Party to meet any obligations to report a Personal Data Breach under the Data Protection Legislation; and</w:t>
      </w:r>
    </w:p>
    <w:p w:rsidR="00000000" w:rsidDel="00000000" w:rsidP="00000000" w:rsidRDefault="00000000" w:rsidRPr="00000000" w14:paraId="000000DF">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reasonable assistance, including:</w:t>
      </w:r>
    </w:p>
    <w:p w:rsidR="00000000" w:rsidDel="00000000" w:rsidP="00000000" w:rsidRDefault="00000000" w:rsidRPr="00000000" w14:paraId="000000E0">
      <w:pPr>
        <w:numPr>
          <w:ilvl w:val="3"/>
          <w:numId w:val="1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co-operation with the other Party and the Information Commissioner investigating the Personal Data Breach and its cause, containing and recovering the compromised Personal Data and compliance with the applicable guidance;</w:t>
      </w:r>
    </w:p>
    <w:p w:rsidR="00000000" w:rsidDel="00000000" w:rsidP="00000000" w:rsidRDefault="00000000" w:rsidRPr="00000000" w14:paraId="000000E1">
      <w:pPr>
        <w:numPr>
          <w:ilvl w:val="3"/>
          <w:numId w:val="1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co-operation with the other Party including taking such reasonable steps as are directed by the other Party to assist in the investigation, mitigation and remediation of a Personal Data Breach;</w:t>
      </w:r>
    </w:p>
    <w:p w:rsidR="00000000" w:rsidDel="00000000" w:rsidP="00000000" w:rsidRDefault="00000000" w:rsidRPr="00000000" w14:paraId="000000E2">
      <w:pPr>
        <w:numPr>
          <w:ilvl w:val="3"/>
          <w:numId w:val="1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co-ordination with the other Party regarding the management of public relations and public statements relating to the Personal Data Breach; and/or</w:t>
      </w:r>
    </w:p>
    <w:p w:rsidR="00000000" w:rsidDel="00000000" w:rsidP="00000000" w:rsidRDefault="00000000" w:rsidRPr="00000000" w14:paraId="000000E3">
      <w:pPr>
        <w:numPr>
          <w:ilvl w:val="3"/>
          <w:numId w:val="13"/>
        </w:numPr>
        <w:pBdr>
          <w:top w:space="0" w:sz="0" w:val="nil"/>
          <w:left w:space="0" w:sz="0" w:val="nil"/>
          <w:bottom w:space="0" w:sz="0" w:val="nil"/>
          <w:right w:space="0" w:sz="0" w:val="nil"/>
          <w:between w:space="0" w:sz="0" w:val="nil"/>
        </w:pBdr>
        <w:spacing w:after="120" w:before="280" w:line="240" w:lineRule="auto"/>
        <w:ind w:left="2126" w:hanging="707.999999999999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000000" w:rsidDel="00000000" w:rsidP="00000000" w:rsidRDefault="00000000" w:rsidRPr="00000000" w14:paraId="000000E4">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000000" w:rsidDel="00000000" w:rsidP="00000000" w:rsidRDefault="00000000" w:rsidRPr="00000000" w14:paraId="000000E5">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nature of the Personal Data Breach; </w:t>
      </w:r>
    </w:p>
    <w:p w:rsidR="00000000" w:rsidDel="00000000" w:rsidP="00000000" w:rsidRDefault="00000000" w:rsidRPr="00000000" w14:paraId="000000E6">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nature of Personal Data affected;</w:t>
      </w:r>
    </w:p>
    <w:p w:rsidR="00000000" w:rsidDel="00000000" w:rsidP="00000000" w:rsidRDefault="00000000" w:rsidRPr="00000000" w14:paraId="000000E7">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categories and number of Data Subjects concerned;</w:t>
      </w:r>
    </w:p>
    <w:p w:rsidR="00000000" w:rsidDel="00000000" w:rsidP="00000000" w:rsidRDefault="00000000" w:rsidRPr="00000000" w14:paraId="000000E8">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name and contact details of the Supplier’s Data Protection Officer or other relevant contact from whom more information may be obtained;</w:t>
      </w:r>
    </w:p>
    <w:p w:rsidR="00000000" w:rsidDel="00000000" w:rsidP="00000000" w:rsidRDefault="00000000" w:rsidRPr="00000000" w14:paraId="000000E9">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measures taken or proposed to be taken to address the Personal Data Breach; and</w:t>
      </w:r>
    </w:p>
    <w:p w:rsidR="00000000" w:rsidDel="00000000" w:rsidP="00000000" w:rsidRDefault="00000000" w:rsidRPr="00000000" w14:paraId="000000EA">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describe the likely consequences of the Personal Data Breach.</w:t>
      </w:r>
    </w:p>
    <w:p w:rsidR="00000000" w:rsidDel="00000000" w:rsidP="00000000" w:rsidRDefault="00000000" w:rsidRPr="00000000" w14:paraId="000000EB">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Audit</w:t>
      </w:r>
    </w:p>
    <w:p w:rsidR="00000000" w:rsidDel="00000000" w:rsidP="00000000" w:rsidRDefault="00000000" w:rsidRPr="00000000" w14:paraId="000000EC">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permit:</w:t>
        <w:tab/>
      </w:r>
    </w:p>
    <w:p w:rsidR="00000000" w:rsidDel="00000000" w:rsidP="00000000" w:rsidRDefault="00000000" w:rsidRPr="00000000" w14:paraId="000000ED">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rsidR="00000000" w:rsidDel="00000000" w:rsidP="00000000" w:rsidRDefault="00000000" w:rsidRPr="00000000" w14:paraId="000000EE">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Authority may, in its sole discretion, require the Supplier to provide evidence of the Supplier’s compliance with Clause 4.1 in lieu of conducting such an audit, assessment or inspection.</w:t>
      </w:r>
    </w:p>
    <w:p w:rsidR="00000000" w:rsidDel="00000000" w:rsidP="00000000" w:rsidRDefault="00000000" w:rsidRPr="00000000" w14:paraId="000000F1">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Impact Assessments</w:t>
      </w:r>
    </w:p>
    <w:p w:rsidR="00000000" w:rsidDel="00000000" w:rsidP="00000000" w:rsidRDefault="00000000" w:rsidRPr="00000000" w14:paraId="000000F2">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w:t>
      </w:r>
    </w:p>
    <w:p w:rsidR="00000000" w:rsidDel="00000000" w:rsidP="00000000" w:rsidRDefault="00000000" w:rsidRPr="00000000" w14:paraId="000000F3">
      <w:pPr>
        <w:numPr>
          <w:ilvl w:val="2"/>
          <w:numId w:val="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all reasonable assistance to each other to prepare any Data Protection Impact Assessment as may be required (including provision of detailed information and assessments in relation to Processing operations, risks and measures); and</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80" w:lineRule="auto"/>
        <w:ind w:left="1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numPr>
          <w:ilvl w:val="2"/>
          <w:numId w:val="2"/>
        </w:numPr>
        <w:pBdr>
          <w:top w:space="0" w:sz="0" w:val="nil"/>
          <w:left w:space="0" w:sz="0" w:val="nil"/>
          <w:bottom w:space="0" w:sz="0" w:val="nil"/>
          <w:right w:space="0" w:sz="0" w:val="nil"/>
          <w:between w:space="0" w:sz="0" w:val="nil"/>
        </w:pBdr>
        <w:spacing w:after="120" w:before="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maintain full and complete records of all Processing carried out in respect of the Personal Data in connection with the Contract, in accordance with the terms of Article 30 UK GDPR.</w:t>
      </w:r>
    </w:p>
    <w:p w:rsidR="00000000" w:rsidDel="00000000" w:rsidP="00000000" w:rsidRDefault="00000000" w:rsidRPr="00000000" w14:paraId="000000F6">
      <w:pPr>
        <w:keepNext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ICO Guidance</w:t>
      </w:r>
    </w:p>
    <w:p w:rsidR="00000000" w:rsidDel="00000000" w:rsidP="00000000" w:rsidRDefault="00000000" w:rsidRPr="00000000" w14:paraId="000000F8">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rsidR="00000000" w:rsidDel="00000000" w:rsidP="00000000" w:rsidRDefault="00000000" w:rsidRPr="00000000" w14:paraId="000000F9">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Liabilities for Data Protection Breach</w:t>
      </w:r>
    </w:p>
    <w:p w:rsidR="00000000" w:rsidDel="00000000" w:rsidP="00000000" w:rsidRDefault="00000000" w:rsidRPr="00000000" w14:paraId="000000FA">
      <w:pPr>
        <w:ind w:left="720" w:firstLine="0"/>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[Guidance: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This clause represents a risk share, you may wish to reconsider the apportionment of liability and whether recoverability of losses are likely to be hindered by the contractual limitation of liability provisions] </w:t>
      </w:r>
      <w:r w:rsidDel="00000000" w:rsidR="00000000" w:rsidRPr="00000000">
        <w:rPr>
          <w:rtl w:val="0"/>
        </w:rPr>
      </w:r>
    </w:p>
    <w:p w:rsidR="00000000" w:rsidDel="00000000" w:rsidP="00000000" w:rsidRDefault="00000000" w:rsidRPr="00000000" w14:paraId="000000FB">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financial penalties are imposed by the Information Commissioner on either the Relevant Authority or the Supplier for a Personal Data Breach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Penalties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then the following shall occur:</w:t>
      </w:r>
    </w:p>
    <w:p w:rsidR="00000000" w:rsidDel="00000000" w:rsidP="00000000" w:rsidRDefault="00000000" w:rsidRPr="00000000" w14:paraId="000000FC">
      <w:pPr>
        <w:numPr>
          <w:ilvl w:val="2"/>
          <w:numId w:val="4"/>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rsidR="00000000" w:rsidDel="00000000" w:rsidP="00000000" w:rsidRDefault="00000000" w:rsidRPr="00000000" w14:paraId="000000FD">
      <w:pPr>
        <w:numPr>
          <w:ilvl w:val="2"/>
          <w:numId w:val="4"/>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rsidR="00000000" w:rsidDel="00000000" w:rsidP="00000000" w:rsidRDefault="00000000" w:rsidRPr="00000000" w14:paraId="000000FE">
      <w:pPr>
        <w:numPr>
          <w:ilvl w:val="2"/>
          <w:numId w:val="4"/>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rsidR="00000000" w:rsidDel="00000000" w:rsidP="00000000" w:rsidRDefault="00000000" w:rsidRPr="00000000" w14:paraId="000000FF">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000000" w:rsidDel="00000000" w:rsidP="00000000" w:rsidRDefault="00000000" w:rsidRPr="00000000" w14:paraId="00000100">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any losses, cost claims or expenses incurred by either Party as a result of a Personal Data Breach (the “Claim Losses”):</w:t>
      </w:r>
    </w:p>
    <w:p w:rsidR="00000000" w:rsidDel="00000000" w:rsidP="00000000" w:rsidRDefault="00000000" w:rsidRPr="00000000" w14:paraId="00000101">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Relevant Authority is responsible for the relevant Personal Data Breach, then the Relevant Authority shall be responsible for the Claim Losses;</w:t>
      </w:r>
    </w:p>
    <w:p w:rsidR="00000000" w:rsidDel="00000000" w:rsidP="00000000" w:rsidRDefault="00000000" w:rsidRPr="00000000" w14:paraId="00000102">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is responsible for the relevant Personal Data Breach, then the Supplier shall be responsible for the Claim Losses: and</w:t>
      </w:r>
    </w:p>
    <w:p w:rsidR="00000000" w:rsidDel="00000000" w:rsidP="00000000" w:rsidRDefault="00000000" w:rsidRPr="00000000" w14:paraId="00000103">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responsibility for the relevant Personal Data Breach is unclear, then the Relevant Authority and the Supplier shall be responsible for the Claim Losses equally. </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rsidR="00000000" w:rsidDel="00000000" w:rsidP="00000000" w:rsidRDefault="00000000" w:rsidRPr="00000000" w14:paraId="00000106">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w:t>
      </w:r>
    </w:p>
    <w:p w:rsidR="00000000" w:rsidDel="00000000" w:rsidP="00000000" w:rsidRDefault="00000000" w:rsidRPr="00000000" w14:paraId="00000107">
      <w:pPr>
        <w:keepNext w:val="1"/>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is in material Default under any of its obligations under this Annex 2 (</w:t>
      </w:r>
      <w:r w:rsidDel="00000000" w:rsidR="00000000" w:rsidRPr="00000000">
        <w:rPr>
          <w:rFonts w:ascii="Arial" w:cs="Arial" w:eastAsia="Arial" w:hAnsi="Arial"/>
          <w:i w:val="1"/>
          <w:sz w:val="24"/>
          <w:szCs w:val="24"/>
          <w:rtl w:val="0"/>
        </w:rPr>
        <w:t xml:space="preserve">Joint Controller Agreement</w:t>
      </w:r>
      <w:r w:rsidDel="00000000" w:rsidR="00000000" w:rsidRPr="00000000">
        <w:rPr>
          <w:rFonts w:ascii="Arial" w:cs="Arial" w:eastAsia="Arial" w:hAnsi="Arial"/>
          <w:sz w:val="24"/>
          <w:szCs w:val="24"/>
          <w:rtl w:val="0"/>
        </w:rPr>
        <w:t xml:space="preserve">), the Relevant Authority shall be entitled to terminate the Contract by issuing a Termination Notice to the Supplier in accordance with Clause 10 of the Core Terms (</w:t>
      </w:r>
      <w:r w:rsidDel="00000000" w:rsidR="00000000" w:rsidRPr="00000000">
        <w:rPr>
          <w:rFonts w:ascii="Arial" w:cs="Arial" w:eastAsia="Arial" w:hAnsi="Arial"/>
          <w:i w:val="1"/>
          <w:sz w:val="24"/>
          <w:szCs w:val="24"/>
          <w:rtl w:val="0"/>
        </w:rPr>
        <w:t xml:space="preserve">Ending the contract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08">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Sub-Processing</w:t>
      </w:r>
      <w:r w:rsidDel="00000000" w:rsidR="00000000" w:rsidRPr="00000000">
        <w:rPr>
          <w:rtl w:val="0"/>
        </w:rPr>
      </w:r>
    </w:p>
    <w:p w:rsidR="00000000" w:rsidDel="00000000" w:rsidP="00000000" w:rsidRDefault="00000000" w:rsidRPr="00000000" w14:paraId="00000109">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any Processing of Personal Data performed by a third party on behalf of a Party, that Party shall:</w:t>
      </w:r>
    </w:p>
    <w:p w:rsidR="00000000" w:rsidDel="00000000" w:rsidP="00000000" w:rsidRDefault="00000000" w:rsidRPr="00000000" w14:paraId="0000010A">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w:t>
      </w:r>
    </w:p>
    <w:p w:rsidR="00000000" w:rsidDel="00000000" w:rsidP="00000000" w:rsidRDefault="00000000" w:rsidRPr="00000000" w14:paraId="0000010B">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a suitable agreement is in place with the third party as required under applicable Data Protection Legislation.</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Retention</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179"/>
        </w:tabs>
        <w:spacing w:after="12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179"/>
        </w:tabs>
        <w:spacing w:after="120" w:before="0" w:line="240" w:lineRule="auto"/>
        <w:ind w:left="2160" w:right="0" w:hanging="21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1ksv4uv" w:id="15"/>
    <w:bookmarkEnd w:id="15"/>
    <w:p w:rsidR="00000000" w:rsidDel="00000000" w:rsidP="00000000" w:rsidRDefault="00000000" w:rsidRPr="00000000" w14:paraId="00000110">
      <w:pPr>
        <w:keepNext w:val="1"/>
        <w:keepLines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6">
    <w:pPr>
      <w:spacing w:after="0" w:lineRule="auto"/>
      <w:rPr/>
    </w:pPr>
    <w:r w:rsidDel="00000000" w:rsidR="00000000" w:rsidRPr="00000000">
      <w:rPr>
        <w:rFonts w:ascii="Arial" w:cs="Arial" w:eastAsia="Arial" w:hAnsi="Arial"/>
        <w:sz w:val="20"/>
        <w:szCs w:val="20"/>
        <w:rtl w:val="0"/>
      </w:rPr>
      <w:t xml:space="preserve">Model Version: v3.0</w:t>
      <w:tab/>
      <w:tab/>
      <w:tab/>
      <w:tab/>
      <w:tab/>
      <w:tab/>
      <w:tab/>
      <w:tab/>
      <w:tab/>
    </w:r>
    <w:r w:rsidDel="00000000" w:rsidR="00000000" w:rsidRPr="00000000">
      <w:rPr>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RM6241</w:t>
      <w:tab/>
      <w:t xml:space="preserve">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spacing w:after="0" w:lineRule="auto"/>
      <w:rPr/>
    </w:pPr>
    <w:r w:rsidDel="00000000" w:rsidR="00000000" w:rsidRPr="00000000">
      <w:rPr>
        <w:rFonts w:ascii="Arial" w:cs="Arial" w:eastAsia="Arial" w:hAnsi="Arial"/>
        <w:sz w:val="20"/>
        <w:szCs w:val="20"/>
        <w:rtl w:val="0"/>
      </w:rPr>
      <w:t xml:space="preserve">Model Version: v1.3</w:t>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-13330</wp:posOffset>
          </wp:positionV>
          <wp:extent cx="849085" cy="685627"/>
          <wp:effectExtent b="0" l="0" r="0" t="0"/>
          <wp:wrapNone/>
          <wp:docPr descr="Crown Commercial Service" id="5" name="image1.png"/>
          <a:graphic>
            <a:graphicData uri="http://schemas.openxmlformats.org/drawingml/2006/picture">
              <pic:pic>
                <pic:nvPicPr>
                  <pic:cNvPr descr="Crown Commercial Service" id="0" name="image1.png"/>
                  <pic:cNvPicPr preferRelativeResize="0"/>
                </pic:nvPicPr>
                <pic:blipFill>
                  <a:blip r:embed="rId1"/>
                  <a:srcRect b="0" l="0" r="0" t="0"/>
                  <a:stretch>
                    <a:fillRect/>
                  </a:stretch>
                </pic:blipFill>
                <pic:spPr>
                  <a:xfrm>
                    <a:off x="0" y="0"/>
                    <a:ext cx="849085" cy="6856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11 (Processing Data)</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w:t>
    </w:r>
    <w:r w:rsidDel="00000000" w:rsidR="00000000" w:rsidRPr="00000000">
      <w:rPr>
        <w:rFonts w:ascii="Arial" w:cs="Arial" w:eastAsia="Arial" w:hAnsi="Arial"/>
        <w:sz w:val="20"/>
        <w:szCs w:val="20"/>
        <w:rtl w:val="0"/>
      </w:rPr>
      <w:t xml:space="preserve">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7"/>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2">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7"/>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3">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7"/>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4">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7"/>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5">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7"/>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6">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7"/>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7">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7"/>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8">
    <w:lvl w:ilvl="0">
      <w:start w:val="1"/>
      <w:numFmt w:val="decimal"/>
      <w:lvlText w:val="Schedule %1"/>
      <w:lvlJc w:val="left"/>
      <w:pPr>
        <w:ind w:left="360" w:hanging="360"/>
      </w:pPr>
      <w:rPr>
        <w:color w:val="000000"/>
      </w:rPr>
    </w:lvl>
    <w:lvl w:ilvl="1">
      <w:start w:val="1"/>
      <w:numFmt w:val="decimal"/>
      <w:lvlText w:val="Part %2"/>
      <w:lvlJc w:val="left"/>
      <w:pPr>
        <w:ind w:left="357" w:hanging="357"/>
      </w:pPr>
      <w:r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rPr/>
    </w:lvl>
    <w:lvl w:ilvl="5">
      <w:start w:val="1"/>
      <w:numFmt w:val="lowerRoman"/>
      <w:lvlText w:val="(%6)"/>
      <w:lvlJc w:val="left"/>
      <w:pPr>
        <w:ind w:left="2275" w:hanging="576"/>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7"/>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10">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13">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7"/>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1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val="1"/>
    <w:rsid w:val="002404A4"/>
    <w:pPr>
      <w:tabs>
        <w:tab w:val="num" w:pos="720"/>
      </w:tabs>
      <w:spacing w:after="240" w:line="240" w:lineRule="auto"/>
      <w:ind w:left="567" w:hanging="567"/>
      <w:jc w:val="both"/>
      <w:outlineLvl w:val="0"/>
    </w:pPr>
    <w:rPr>
      <w:rFonts w:ascii="Arial" w:cs="Arial" w:hAnsi="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1"/>
    </w:pPr>
    <w:rPr>
      <w:rFonts w:ascii="Cambria" w:cs="Cambria" w:eastAsia="Cambria" w:hAnsi="Cambria"/>
      <w:b w:val="1"/>
      <w:color w:val="000000"/>
      <w:sz w:val="26"/>
      <w:szCs w:val="26"/>
      <w:lang w:eastAsia="en-GB"/>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2"/>
    </w:pPr>
    <w:rPr>
      <w:rFonts w:ascii="Cambria" w:cs="Cambria" w:eastAsia="Cambria" w:hAnsi="Cambria"/>
      <w:b w:val="1"/>
      <w:color w:val="000000"/>
      <w:lang w:eastAsia="en-GB"/>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val="1"/>
    <w:unhideWhenUsed w:val="1"/>
    <w:qFormat w:val="1"/>
    <w:rsid w:val="002404A4"/>
    <w:pPr>
      <w:tabs>
        <w:tab w:val="num" w:pos="2268"/>
      </w:tabs>
      <w:spacing w:after="240" w:line="240" w:lineRule="auto"/>
      <w:ind w:left="2268" w:hanging="850"/>
      <w:jc w:val="both"/>
      <w:outlineLvl w:val="3"/>
    </w:pPr>
    <w:rPr>
      <w:rFonts w:ascii="Arial" w:cs="Arial" w:hAnsi="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val="1"/>
    <w:unhideWhenUsed w:val="1"/>
    <w:qFormat w:val="1"/>
    <w:rsid w:val="002404A4"/>
    <w:pPr>
      <w:tabs>
        <w:tab w:val="num" w:pos="1985"/>
      </w:tabs>
      <w:spacing w:after="240" w:line="240" w:lineRule="auto"/>
      <w:ind w:left="1985" w:hanging="567"/>
      <w:jc w:val="both"/>
      <w:outlineLvl w:val="4"/>
    </w:pPr>
    <w:rPr>
      <w:rFonts w:ascii="Arial" w:cs="Arial" w:hAnsi="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val="1"/>
    <w:unhideWhenUsed w:val="1"/>
    <w:qFormat w:val="1"/>
    <w:rsid w:val="002404A4"/>
    <w:pPr>
      <w:tabs>
        <w:tab w:val="num" w:pos="4320"/>
      </w:tabs>
      <w:spacing w:after="240" w:line="240" w:lineRule="auto"/>
      <w:ind w:left="4320" w:hanging="720"/>
      <w:jc w:val="both"/>
      <w:outlineLvl w:val="5"/>
    </w:pPr>
    <w:rPr>
      <w:rFonts w:ascii="Arial" w:cs="Arial" w:hAnsi="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val="1"/>
    <w:unhideWhenUsed w:val="1"/>
    <w:qFormat w:val="1"/>
    <w:rsid w:val="002404A4"/>
    <w:pPr>
      <w:tabs>
        <w:tab w:val="num" w:pos="5040"/>
      </w:tabs>
      <w:spacing w:after="240" w:line="240" w:lineRule="auto"/>
      <w:ind w:left="5040" w:hanging="720"/>
      <w:jc w:val="both"/>
      <w:outlineLvl w:val="6"/>
    </w:pPr>
    <w:rPr>
      <w:rFonts w:ascii="Times New Roman" w:cs="Times New Roman" w:hAnsi="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val="1"/>
    <w:unhideWhenUsed w:val="1"/>
    <w:qFormat w:val="1"/>
    <w:rsid w:val="002404A4"/>
    <w:pPr>
      <w:tabs>
        <w:tab w:val="num" w:pos="5040"/>
      </w:tabs>
      <w:spacing w:after="240" w:line="240" w:lineRule="auto"/>
      <w:ind w:left="5040" w:hanging="720"/>
      <w:jc w:val="both"/>
      <w:outlineLvl w:val="7"/>
    </w:pPr>
    <w:rPr>
      <w:rFonts w:ascii="Times New Roman" w:cs="Times New Roman" w:hAnsi="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val="1"/>
    <w:unhideWhenUsed w:val="1"/>
    <w:qFormat w:val="1"/>
    <w:rsid w:val="002404A4"/>
    <w:pPr>
      <w:tabs>
        <w:tab w:val="num" w:pos="5040"/>
      </w:tabs>
      <w:spacing w:after="240" w:line="240" w:lineRule="auto"/>
      <w:ind w:left="5040" w:hanging="720"/>
      <w:jc w:val="both"/>
      <w:outlineLvl w:val="8"/>
    </w:pPr>
    <w:rPr>
      <w:rFonts w:ascii="Times New Roman" w:cs="Times New Roman" w:hAnsi="Times New Roman"/>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ascii="Calibri" w:cs="Arial" w:eastAsia="Times New Roman" w:hAnsi="Calibri"/>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cheduleTitleClause" w:customStyle="1">
    <w:name w:val="Schedule Title Clause"/>
    <w:basedOn w:val="Normal"/>
    <w:rsid w:val="002771AA"/>
    <w:pPr>
      <w:keepNext w:val="1"/>
      <w:numPr>
        <w:ilvl w:val="2"/>
        <w:numId w:val="1"/>
      </w:numPr>
      <w:spacing w:after="240" w:before="240" w:line="300" w:lineRule="atLeast"/>
      <w:jc w:val="both"/>
      <w:outlineLvl w:val="0"/>
    </w:pPr>
    <w:rPr>
      <w:rFonts w:ascii="Arial" w:cs="Times New Roman" w:eastAsia="Times New Roman" w:hAnsi="Arial"/>
      <w:b w:val="1"/>
      <w:color w:val="000000"/>
      <w:kern w:val="28"/>
      <w:szCs w:val="20"/>
    </w:rPr>
  </w:style>
  <w:style w:type="paragraph" w:styleId="ScheduleUntitledsubclause1" w:customStyle="1">
    <w:name w:val="Schedule Untitled subclause 1"/>
    <w:basedOn w:val="Normal"/>
    <w:rsid w:val="002771AA"/>
    <w:pPr>
      <w:numPr>
        <w:ilvl w:val="3"/>
        <w:numId w:val="1"/>
      </w:numPr>
      <w:spacing w:after="120" w:before="280" w:line="300" w:lineRule="atLeast"/>
      <w:jc w:val="both"/>
      <w:outlineLvl w:val="1"/>
    </w:pPr>
    <w:rPr>
      <w:rFonts w:ascii="Arial" w:cs="Times New Roman" w:eastAsia="Times New Roman" w:hAnsi="Arial"/>
      <w:color w:val="000000"/>
      <w:szCs w:val="20"/>
    </w:rPr>
  </w:style>
  <w:style w:type="paragraph" w:styleId="ScheduleUntitledsubclause2" w:customStyle="1">
    <w:name w:val="Schedule Untitled subclause 2"/>
    <w:basedOn w:val="Normal"/>
    <w:rsid w:val="002771AA"/>
    <w:pPr>
      <w:numPr>
        <w:ilvl w:val="4"/>
        <w:numId w:val="1"/>
      </w:numPr>
      <w:spacing w:after="120" w:line="300" w:lineRule="atLeast"/>
      <w:jc w:val="both"/>
      <w:outlineLvl w:val="2"/>
    </w:pPr>
    <w:rPr>
      <w:rFonts w:ascii="Arial" w:cs="Times New Roman" w:eastAsia="Times New Roman" w:hAnsi="Arial"/>
      <w:color w:val="000000"/>
      <w:szCs w:val="20"/>
    </w:rPr>
  </w:style>
  <w:style w:type="paragraph" w:styleId="ScheduleUntitledsubclause3" w:customStyle="1">
    <w:name w:val="Schedule Untitled subclause 3"/>
    <w:basedOn w:val="Normal"/>
    <w:rsid w:val="002771AA"/>
    <w:pPr>
      <w:numPr>
        <w:ilvl w:val="5"/>
        <w:numId w:val="1"/>
      </w:numPr>
      <w:tabs>
        <w:tab w:val="left" w:pos="2261"/>
      </w:tabs>
      <w:spacing w:after="120" w:line="300" w:lineRule="atLeast"/>
      <w:jc w:val="both"/>
      <w:outlineLvl w:val="3"/>
    </w:pPr>
    <w:rPr>
      <w:rFonts w:ascii="Arial" w:cs="Times New Roman" w:eastAsia="Times New Roman" w:hAnsi="Arial"/>
      <w:color w:val="000000"/>
      <w:szCs w:val="20"/>
    </w:rPr>
  </w:style>
  <w:style w:type="paragraph" w:styleId="Schedule" w:customStyle="1">
    <w:name w:val="Schedule"/>
    <w:qFormat w:val="1"/>
    <w:rsid w:val="002771AA"/>
    <w:pPr>
      <w:numPr>
        <w:numId w:val="1"/>
      </w:numPr>
      <w:spacing w:after="240" w:before="240" w:line="240" w:lineRule="atLeast"/>
    </w:pPr>
    <w:rPr>
      <w:rFonts w:ascii="Arial" w:cs="Times New Roman" w:eastAsia="Times New Roman" w:hAnsi="Arial"/>
      <w:b w:val="1"/>
      <w:color w:val="000000"/>
      <w:lang w:val="en-US"/>
    </w:rPr>
  </w:style>
  <w:style w:type="paragraph" w:styleId="Part" w:customStyle="1">
    <w:name w:val="Part"/>
    <w:basedOn w:val="Normal"/>
    <w:qFormat w:val="1"/>
    <w:rsid w:val="002771AA"/>
    <w:pPr>
      <w:numPr>
        <w:ilvl w:val="1"/>
        <w:numId w:val="1"/>
      </w:numPr>
      <w:spacing w:after="240" w:before="240" w:line="300" w:lineRule="atLeast"/>
    </w:pPr>
    <w:rPr>
      <w:rFonts w:ascii="Arial" w:cs="Times New Roman" w:eastAsia="Times New Roman" w:hAnsi="Arial"/>
      <w:b w:val="1"/>
      <w:color w:val="000000"/>
      <w:szCs w:val="20"/>
    </w:rPr>
  </w:style>
  <w:style w:type="paragraph" w:styleId="NormalWeb">
    <w:name w:val="Normal (Web)"/>
    <w:basedOn w:val="Normal"/>
    <w:uiPriority w:val="99"/>
    <w:unhideWhenUsed w:val="1"/>
    <w:rsid w:val="00712566"/>
    <w:pPr>
      <w:spacing w:after="100" w:afterAutospacing="1" w:before="100" w:beforeAutospacing="1" w:line="240" w:lineRule="auto"/>
    </w:pPr>
    <w:rPr>
      <w:rFonts w:ascii="Times New Roman" w:cs="Times New Roman" w:hAnsi="Times New Roman"/>
      <w:sz w:val="24"/>
      <w:szCs w:val="24"/>
      <w:lang w:eastAsia="en-GB"/>
    </w:rPr>
  </w:style>
  <w:style w:type="character" w:styleId="gmail-apple-tab-span" w:customStyle="1">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val="1"/>
    <w:rsid w:val="000859BA"/>
    <w:pPr>
      <w:suppressAutoHyphens w:val="1"/>
      <w:autoSpaceDN w:val="0"/>
      <w:ind w:left="720"/>
      <w:textAlignment w:val="baseline"/>
    </w:pPr>
    <w:rPr>
      <w:rFonts w:ascii="Calibri" w:cs="Times New Roman" w:eastAsia="Calibri" w:hAnsi="Calibri"/>
    </w:rPr>
  </w:style>
  <w:style w:type="paragraph" w:styleId="GPsDefinition" w:customStyle="1">
    <w:name w:val="GPs Definition"/>
    <w:basedOn w:val="Normal"/>
    <w:qFormat w:val="1"/>
    <w:rsid w:val="000859BA"/>
    <w:pPr>
      <w:tabs>
        <w:tab w:val="left" w:pos="-179"/>
      </w:tabs>
      <w:overflowPunct w:val="0"/>
      <w:autoSpaceDE w:val="0"/>
      <w:autoSpaceDN w:val="0"/>
      <w:spacing w:after="120" w:line="240" w:lineRule="auto"/>
      <w:jc w:val="both"/>
      <w:textAlignment w:val="baseline"/>
    </w:pPr>
    <w:rPr>
      <w:rFonts w:ascii="Arial" w:cs="Arial" w:eastAsia="Times New Roman" w:hAnsi="Arial"/>
    </w:rPr>
  </w:style>
  <w:style w:type="character" w:styleId="Heading2Char" w:customStyle="1">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cs="Cambria" w:eastAsia="Cambria" w:hAnsi="Cambria"/>
      <w:b w:val="1"/>
      <w:color w:val="000000"/>
      <w:sz w:val="26"/>
      <w:szCs w:val="26"/>
      <w:lang w:eastAsia="en-GB"/>
    </w:rPr>
  </w:style>
  <w:style w:type="character" w:styleId="Heading3Char" w:customStyle="1">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cs="Cambria" w:eastAsia="Cambria" w:hAnsi="Cambria"/>
      <w:b w:val="1"/>
      <w:color w:val="000000"/>
      <w:lang w:eastAsia="en-GB"/>
    </w:rPr>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cs="Arial" w:hAnsi="Arial"/>
      <w:lang w:eastAsia="zh-CN"/>
    </w:rPr>
  </w:style>
  <w:style w:type="character" w:styleId="Heading4Char" w:customStyle="1">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val="1"/>
    <w:rsid w:val="002404A4"/>
    <w:rPr>
      <w:rFonts w:ascii="Arial" w:cs="Arial" w:hAnsi="Arial"/>
      <w:lang w:eastAsia="zh-CN"/>
    </w:rPr>
  </w:style>
  <w:style w:type="character" w:styleId="Heading5Char" w:customStyle="1">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val="1"/>
    <w:rsid w:val="002404A4"/>
    <w:rPr>
      <w:rFonts w:ascii="Arial" w:cs="Arial" w:hAnsi="Arial"/>
      <w:lang w:eastAsia="zh-CN"/>
    </w:rPr>
  </w:style>
  <w:style w:type="character" w:styleId="Heading6Char" w:customStyle="1">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val="1"/>
    <w:rsid w:val="002404A4"/>
    <w:rPr>
      <w:rFonts w:ascii="Arial" w:cs="Arial" w:hAnsi="Arial"/>
      <w:lang w:eastAsia="zh-CN"/>
    </w:rPr>
  </w:style>
  <w:style w:type="character" w:styleId="Heading7Char" w:customStyle="1">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val="1"/>
    <w:rsid w:val="002404A4"/>
    <w:rPr>
      <w:rFonts w:ascii="Times New Roman" w:cs="Times New Roman" w:hAnsi="Times New Roman"/>
      <w:lang w:eastAsia="zh-CN"/>
    </w:rPr>
  </w:style>
  <w:style w:type="character" w:styleId="Heading8Char" w:customStyle="1">
    <w:name w:val="Heading 8 Char"/>
    <w:aliases w:val="Heading 8 (Do Not Use) Char,Legal Level 1.1.1. Char,Lev 8 Char,h8 DO NOT USE Char,PA Appendix Minor Char,Blank 4 Char,code/paths Char"/>
    <w:basedOn w:val="DefaultParagraphFont"/>
    <w:link w:val="Heading8"/>
    <w:uiPriority w:val="9"/>
    <w:semiHidden w:val="1"/>
    <w:rsid w:val="002404A4"/>
    <w:rPr>
      <w:rFonts w:ascii="Times New Roman" w:cs="Times New Roman" w:hAnsi="Times New Roman"/>
      <w:lang w:eastAsia="zh-CN"/>
    </w:rPr>
  </w:style>
  <w:style w:type="character" w:styleId="Heading9Char" w:customStyle="1">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val="1"/>
    <w:rsid w:val="002404A4"/>
    <w:rPr>
      <w:rFonts w:ascii="Times New Roman" w:cs="Times New Roman" w:hAnsi="Times New Roman"/>
      <w:lang w:eastAsia="zh-CN"/>
    </w:rPr>
  </w:style>
  <w:style w:type="paragraph" w:styleId="GPSDefinitionL2" w:customStyle="1">
    <w:name w:val="GPS Definition L2"/>
    <w:basedOn w:val="GPsDefinition"/>
    <w:qFormat w:val="1"/>
    <w:rsid w:val="002404A4"/>
    <w:pPr>
      <w:tabs>
        <w:tab w:val="clear" w:pos="-179"/>
        <w:tab w:val="left" w:pos="175"/>
      </w:tabs>
      <w:adjustRightInd w:val="0"/>
      <w:ind w:left="1440" w:hanging="544"/>
    </w:pPr>
    <w:rPr>
      <w:rFonts w:ascii="Calibri" w:hAnsi="Calibri"/>
    </w:rPr>
  </w:style>
  <w:style w:type="paragraph" w:styleId="GPSDefinitionL3" w:customStyle="1">
    <w:name w:val="GPS Definition L3"/>
    <w:basedOn w:val="GPSDefinitionL2"/>
    <w:qFormat w:val="1"/>
    <w:rsid w:val="002404A4"/>
    <w:pPr>
      <w:ind w:left="1800" w:hanging="360"/>
    </w:pPr>
  </w:style>
  <w:style w:type="paragraph" w:styleId="GPSDefinitionL4" w:customStyle="1">
    <w:name w:val="GPS Definition L4"/>
    <w:basedOn w:val="GPSDefinitionL3"/>
    <w:qFormat w:val="1"/>
    <w:rsid w:val="002404A4"/>
    <w:pPr>
      <w:ind w:left="2160"/>
    </w:pPr>
  </w:style>
  <w:style w:type="character" w:styleId="ListParagraphChar" w:customStyle="1">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val="1"/>
    <w:rsid w:val="002404A4"/>
    <w:rPr>
      <w:rFonts w:ascii="Calibri" w:cs="Times New Roman" w:eastAsia="Calibri" w:hAnsi="Calibri"/>
    </w:rPr>
  </w:style>
  <w:style w:type="paragraph" w:styleId="ABackground" w:customStyle="1">
    <w:name w:val="(A) Background"/>
    <w:basedOn w:val="Normal"/>
    <w:rsid w:val="002404A4"/>
    <w:pPr>
      <w:numPr>
        <w:numId w:val="2"/>
      </w:numPr>
      <w:spacing w:after="120" w:before="120" w:line="300" w:lineRule="atLeast"/>
      <w:jc w:val="both"/>
    </w:pPr>
    <w:rPr>
      <w:rFonts w:ascii="Times New Roman" w:cs="Times New Roman" w:hAnsi="Times New Roman"/>
    </w:rPr>
  </w:style>
  <w:style w:type="paragraph" w:styleId="BackSubClause" w:customStyle="1">
    <w:name w:val="BackSubClause"/>
    <w:basedOn w:val="Normal"/>
    <w:rsid w:val="002404A4"/>
    <w:pPr>
      <w:numPr>
        <w:ilvl w:val="1"/>
        <w:numId w:val="2"/>
      </w:numPr>
      <w:spacing w:after="0" w:line="300" w:lineRule="atLeast"/>
      <w:jc w:val="both"/>
    </w:pPr>
    <w:rPr>
      <w:rFonts w:ascii="Times New Roman" w:cs="Times New Roman" w:hAnsi="Times New Roman"/>
    </w:rPr>
  </w:style>
  <w:style w:type="paragraph" w:styleId="TLTLevel1" w:customStyle="1">
    <w:name w:val="TLT Level 1"/>
    <w:basedOn w:val="Normal"/>
    <w:rsid w:val="002404A4"/>
    <w:pPr>
      <w:numPr>
        <w:numId w:val="3"/>
      </w:numPr>
      <w:spacing w:before="100" w:line="240" w:lineRule="auto"/>
    </w:pPr>
    <w:rPr>
      <w:rFonts w:ascii="Arial" w:cs="Arial" w:hAnsi="Arial"/>
      <w:sz w:val="20"/>
      <w:szCs w:val="20"/>
      <w:lang w:eastAsia="en-GB"/>
    </w:rPr>
  </w:style>
  <w:style w:type="character" w:styleId="TLTLevel2Char" w:customStyle="1">
    <w:name w:val="TLT Level 2 Char"/>
    <w:basedOn w:val="DefaultParagraphFont"/>
    <w:link w:val="TLTLevel2"/>
    <w:locked w:val="1"/>
    <w:rsid w:val="002404A4"/>
  </w:style>
  <w:style w:type="paragraph" w:styleId="TLTLevel2" w:customStyle="1">
    <w:name w:val="TLT Level 2"/>
    <w:basedOn w:val="Normal"/>
    <w:link w:val="TLTLevel2Char"/>
    <w:rsid w:val="002404A4"/>
    <w:pPr>
      <w:numPr>
        <w:ilvl w:val="1"/>
        <w:numId w:val="3"/>
      </w:numPr>
      <w:spacing w:before="100" w:line="240" w:lineRule="auto"/>
    </w:pPr>
  </w:style>
  <w:style w:type="paragraph" w:styleId="TLTLevel3" w:customStyle="1">
    <w:name w:val="TLT Level 3"/>
    <w:basedOn w:val="Normal"/>
    <w:rsid w:val="002404A4"/>
    <w:pPr>
      <w:numPr>
        <w:ilvl w:val="2"/>
        <w:numId w:val="3"/>
      </w:numPr>
      <w:spacing w:before="100" w:line="240" w:lineRule="auto"/>
      <w:ind w:left="2160" w:hanging="180"/>
    </w:pPr>
    <w:rPr>
      <w:rFonts w:ascii="Times New Roman" w:cs="Times New Roman" w:hAnsi="Times New Roman"/>
    </w:rPr>
  </w:style>
  <w:style w:type="paragraph" w:styleId="TLTLevel4" w:customStyle="1">
    <w:name w:val="TLT Level 4"/>
    <w:basedOn w:val="Normal"/>
    <w:rsid w:val="002404A4"/>
    <w:pPr>
      <w:numPr>
        <w:ilvl w:val="3"/>
        <w:numId w:val="3"/>
      </w:numPr>
      <w:spacing w:before="100" w:line="240" w:lineRule="auto"/>
      <w:ind w:left="2880" w:hanging="360"/>
    </w:pPr>
    <w:rPr>
      <w:rFonts w:ascii="Times New Roman" w:cs="Times New Roman" w:hAnsi="Times New Roman"/>
    </w:rPr>
  </w:style>
  <w:style w:type="paragraph" w:styleId="TLTLevel5" w:customStyle="1">
    <w:name w:val="TLT Level 5"/>
    <w:basedOn w:val="Normal"/>
    <w:rsid w:val="002404A4"/>
    <w:pPr>
      <w:numPr>
        <w:ilvl w:val="4"/>
        <w:numId w:val="3"/>
      </w:numPr>
      <w:spacing w:before="100" w:line="240" w:lineRule="auto"/>
      <w:ind w:left="3600" w:hanging="360"/>
    </w:pPr>
    <w:rPr>
      <w:rFonts w:ascii="Times New Roman" w:cs="Times New Roman" w:hAnsi="Times New Roman"/>
    </w:rPr>
  </w:style>
  <w:style w:type="numbering" w:styleId="Level" w:customStyle="1">
    <w:name w:val="Level"/>
    <w:uiPriority w:val="99"/>
    <w:rsid w:val="002404A4"/>
    <w:pPr>
      <w:numPr>
        <w:numId w:val="3"/>
      </w:numPr>
    </w:pPr>
  </w:style>
  <w:style w:type="paragraph" w:styleId="BodyText">
    <w:name w:val="Body Text"/>
    <w:basedOn w:val="Normal"/>
    <w:link w:val="BodyTextChar"/>
    <w:uiPriority w:val="99"/>
    <w:rsid w:val="006D1BF4"/>
    <w:pPr>
      <w:spacing w:after="220" w:line="240" w:lineRule="auto"/>
      <w:jc w:val="both"/>
    </w:pPr>
    <w:rPr>
      <w:rFonts w:ascii="Trebuchet MS" w:cs="Times New Roman" w:eastAsia="Times New Roman" w:hAnsi="Trebuchet MS"/>
      <w:sz w:val="20"/>
      <w:szCs w:val="20"/>
    </w:rPr>
  </w:style>
  <w:style w:type="character" w:styleId="BodyTextChar" w:customStyle="1">
    <w:name w:val="Body Text Char"/>
    <w:basedOn w:val="DefaultParagraphFont"/>
    <w:link w:val="BodyText"/>
    <w:uiPriority w:val="99"/>
    <w:rsid w:val="006D1BF4"/>
    <w:rPr>
      <w:rFonts w:ascii="Trebuchet MS" w:cs="Times New Roman" w:eastAsia="Times New Roman" w:hAnsi="Trebuchet MS"/>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uj4wwfJiKtQFfSJFR14u9VHrkA==">AMUW2mUIfY1GZ4ym3gshYdJfVK24CKRaHuFPTVdaT6AMRGViJc/Xo7I7i2QVIve7gN+p8hDylLNEqDiiEkYoicLxA402ktb5iw3BHkwqIWitg04XDVrObM7cJtV63J9kpG0JHcsYatJ7nOKrlnIv3S7vdVxUj6Zqh5zJUinbKtG8D0mcKIVKtmSDZqeWMBqXfHaGh078Ms5UFzBnDfsrD0ki3+Vm1xVhAjrXsgYU7hT3llSjn9sOv/OVSfulHTo5xda/Wtmoje/+zlrya2OMFq7hUi4EbZGruF8hp/6LlXzFbU3RFeDMfq+EojEWeWUy+rI4sxTfdNpBkJMmit8Ve5x+LJ1SefzwwJd8h0sYy/546xmBKVx0X2sN9AcO0lrkMrErZY8Gcs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2020-04-06T12:23:00Z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