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Joint Schedule 2 (Variation Form)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form is to be used in order to change a contract in accordance with Clause 24 (Changing the Contract)</w:t>
      </w:r>
    </w:p>
    <w:tbl>
      <w:tblPr>
        <w:tblStyle w:val="Table1"/>
        <w:tblW w:w="89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8"/>
        <w:gridCol w:w="3022"/>
        <w:gridCol w:w="3022"/>
        <w:tblGridChange w:id="0">
          <w:tblGrid>
            <w:gridCol w:w="2938"/>
            <w:gridCol w:w="3022"/>
            <w:gridCol w:w="3022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Details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variation is between: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[delete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 applicable: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CCS / Buyer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("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CCS”  “the Buyer"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Supplier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"the Supplier"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name: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contract to be changed]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(“the Contract”)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reference number: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reference number]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Details of Proposed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initiated by: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[delete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as applicable: CCS/Buyer/Supplier]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number: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number]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variation is raised: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Proposed variation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Reason for the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reason]</w:t>
            </w:r>
          </w:p>
        </w:tc>
      </w:tr>
      <w:tr>
        <w:trPr>
          <w:cantSplit w:val="0"/>
          <w:trHeight w:val="718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 Impact Assessment shall be provided within: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number] days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Impact of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Likely impact of the proposed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[Supplier to 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 of impact]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Outcome of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Contract detailed above is varied as follows: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[CCS/Buyer to 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original Clauses or Paragraphs to be varied and the changed clause]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Financial variation: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Original Contract Value: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Additional cost due to variation: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 Contract value: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</w:p>
        </w:tc>
      </w:tr>
    </w:tbl>
    <w:p w:rsidR="00000000" w:rsidDel="00000000" w:rsidP="00000000" w:rsidRDefault="00000000" w:rsidRPr="00000000" w14:paraId="0000003C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Variation must be agreed and signed by both Parties to the Contract and shall only be effective from the date it is signed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[delete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applicable: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CCS / Buyer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Words and expressions in this Variation shall have the meanings given to them in the Contract. </w:t>
      </w:r>
    </w:p>
    <w:p w:rsidR="00000000" w:rsidDel="00000000" w:rsidP="00000000" w:rsidRDefault="00000000" w:rsidRPr="00000000" w14:paraId="0000003E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567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Contract, including any previous Variations, shall remain effective and unaltered except as amended by this Variation.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Signed by an authorised signatory for and on behalf of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[delete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applicable: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CCS / Buyer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2"/>
        <w:tblW w:w="8150.0" w:type="dxa"/>
        <w:jc w:val="left"/>
        <w:tblInd w:w="0.0" w:type="dxa"/>
        <w:tblBorders>
          <w:bottom w:color="000000" w:space="0" w:sz="4" w:val="dotted"/>
          <w:insideH w:color="000000" w:space="0" w:sz="4" w:val="dotted"/>
        </w:tblBorders>
        <w:tblLayout w:type="fixed"/>
        <w:tblLook w:val="0000"/>
      </w:tblPr>
      <w:tblGrid>
        <w:gridCol w:w="2210"/>
        <w:gridCol w:w="5940"/>
        <w:tblGridChange w:id="0">
          <w:tblGrid>
            <w:gridCol w:w="2210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(in Capitals)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Signed by an authorised signatory to sign for and on behalf of the Supplier</w:t>
      </w:r>
    </w:p>
    <w:tbl>
      <w:tblPr>
        <w:tblStyle w:val="Table3"/>
        <w:tblW w:w="8188.0" w:type="dxa"/>
        <w:jc w:val="left"/>
        <w:tblInd w:w="0.0" w:type="dxa"/>
        <w:tblBorders>
          <w:bottom w:color="000000" w:space="0" w:sz="4" w:val="dotted"/>
          <w:insideH w:color="000000" w:space="0" w:sz="4" w:val="dotted"/>
        </w:tblBorders>
        <w:tblLayout w:type="fixed"/>
        <w:tblLook w:val="0000"/>
      </w:tblPr>
      <w:tblGrid>
        <w:gridCol w:w="2208"/>
        <w:gridCol w:w="5980"/>
        <w:tblGridChange w:id="0">
          <w:tblGrid>
            <w:gridCol w:w="2208"/>
            <w:gridCol w:w="59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(in Capitals)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40" w:top="1440" w:left="1440" w:right="1440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tabs>
        <w:tab w:val="center" w:pos="4513"/>
        <w:tab w:val="right" w:pos="9026"/>
      </w:tabs>
      <w:spacing w:after="0" w:lineRule="auto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DPS Ref: RM6241</w:t>
      <w:tab/>
      <w:t xml:space="preserve">                                           </w:t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spacing w:after="0" w:lineRule="auto"/>
      <w:jc w:val="left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v1.0</w:t>
    </w: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ab/>
      <w:tab/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tabs>
        <w:tab w:val="center" w:pos="4513"/>
        <w:tab w:val="right" w:pos="9026"/>
      </w:tabs>
      <w:spacing w:after="0" w:lineRule="auto"/>
      <w:rPr>
        <w:color w:val="bfbfb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 xml:space="preserve">DPS Ref: RM</w:t>
      <w:tab/>
      <w:t xml:space="preserve">                                           </w:t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spacing w:after="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 xml:space="preserve">Model Version: v1.0</w:t>
      <w:tab/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Joint Schedule 2 (Variation Form)</w:t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22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Joint Schedule 2 (Variation Form)</w:t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Crown Copyright 2018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cs="Arial" w:eastAsia="Times New Roman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MarginText" w:customStyle="1">
    <w:name w:val="Margin Text"/>
    <w:basedOn w:val="Normal"/>
    <w:link w:val="MarginTextChar"/>
    <w:pPr>
      <w:keepNext w:val="1"/>
      <w:overflowPunct w:val="1"/>
      <w:autoSpaceDE w:val="1"/>
      <w:autoSpaceDN w:val="1"/>
      <w:spacing w:after="120" w:before="240"/>
      <w:ind w:left="142"/>
      <w:textAlignment w:val="auto"/>
    </w:pPr>
    <w:rPr>
      <w:rFonts w:cs="Times New Roman" w:eastAsia="STZhongsong"/>
      <w:szCs w:val="18"/>
      <w:lang w:eastAsia="zh-CN"/>
    </w:rPr>
  </w:style>
  <w:style w:type="character" w:styleId="MarginTextChar" w:customStyle="1">
    <w:name w:val="Margin Text Char"/>
    <w:link w:val="MarginText"/>
    <w:locked w:val="1"/>
    <w:rPr>
      <w:rFonts w:ascii="Calibri" w:cs="Times New Roman" w:eastAsia="STZhongsong" w:hAnsi="Calibri"/>
      <w:szCs w:val="18"/>
      <w:lang w:eastAsia="zh-CN"/>
    </w:rPr>
  </w:style>
  <w:style w:type="paragraph" w:styleId="GPSL1Guidance" w:customStyle="1">
    <w:name w:val="GPS L1 Guidance"/>
    <w:basedOn w:val="Normal"/>
    <w:link w:val="GPSL1GuidanceChar"/>
    <w:qFormat w:val="1"/>
    <w:pPr>
      <w:spacing w:after="120" w:before="240"/>
      <w:ind w:left="426"/>
    </w:pPr>
    <w:rPr>
      <w:b w:val="1"/>
      <w:i w:val="1"/>
    </w:rPr>
  </w:style>
  <w:style w:type="paragraph" w:styleId="GPSmacrorestart" w:customStyle="1">
    <w:name w:val="GPS macro restart"/>
    <w:basedOn w:val="Normal"/>
    <w:qFormat w:val="1"/>
    <w:pPr>
      <w:spacing w:after="0"/>
    </w:pPr>
    <w:rPr>
      <w:color w:val="ffffff"/>
      <w:sz w:val="16"/>
      <w:szCs w:val="16"/>
    </w:rPr>
  </w:style>
  <w:style w:type="paragraph" w:styleId="TableNormal1" w:customStyle="1">
    <w:name w:val="Table Normal1"/>
    <w:basedOn w:val="Normal"/>
    <w:qFormat w:val="1"/>
    <w:pPr>
      <w:spacing w:after="120"/>
      <w:ind w:left="34"/>
    </w:pPr>
  </w:style>
  <w:style w:type="paragraph" w:styleId="TSOLScheduleNormalLeft" w:customStyle="1">
    <w:name w:val="TSOL Schedule Normal Left"/>
    <w:basedOn w:val="Normal"/>
    <w:qFormat w:val="1"/>
    <w:pPr>
      <w:ind w:left="142"/>
    </w:pPr>
  </w:style>
  <w:style w:type="character" w:styleId="GPSL1GuidanceChar" w:customStyle="1">
    <w:name w:val="GPS L1 Guidance Char"/>
    <w:link w:val="GPSL1Guidance"/>
    <w:locked w:val="1"/>
    <w:rPr>
      <w:rFonts w:ascii="Calibri" w:cs="Arial" w:eastAsia="Times New Roman" w:hAnsi="Calibri"/>
      <w:b w:val="1"/>
      <w:i w:val="1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rFonts w:ascii="Calibri" w:cs="Arial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rFonts w:ascii="Calibri" w:cs="Arial" w:eastAsia="Times New Roman" w:hAnsi="Calibri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eastAsia="Times New Roman" w:hAnsi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 w:customStyle="1">
    <w:name w:val="Normal1"/>
    <w:pPr>
      <w:widowControl w:val="0"/>
      <w:spacing w:after="80" w:line="240" w:lineRule="auto"/>
    </w:pPr>
    <w:rPr>
      <w:rFonts w:ascii="Calibri" w:cs="Calibri" w:eastAsia="Calibri" w:hAnsi="Calibri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tc6+jeGSqZYuvbGdmNjy9qrwQ==">AMUW2mUH2KPQPbZvcQGw29zUwdEM/Wk/68N6QB/g5iP3XMUAjg7RTTH0rpbDugigno5yMhAFn8H/0RI/9G+5bmklT5W9ScCr8kgNJeuWGfnvmiDgplIvGg0/AMTMgNArjfdjJD+Vxlwj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2019-04-10T22:20:00Z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