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Order Schedule 10 (Exit Management)</w:t>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988.0" w:type="dxa"/>
        <w:jc w:val="left"/>
        <w:tblInd w:w="1008.0" w:type="dxa"/>
        <w:tblLayout w:type="fixed"/>
        <w:tblLook w:val="0000"/>
      </w:tblPr>
      <w:tblGrid>
        <w:gridCol w:w="3060"/>
        <w:gridCol w:w="4928"/>
        <w:tblGridChange w:id="0">
          <w:tblGrid>
            <w:gridCol w:w="3060"/>
            <w:gridCol w:w="4928"/>
          </w:tblGrid>
        </w:tblGridChange>
      </w:tblGrid>
      <w:tr>
        <w:trPr>
          <w:cantSplit w:val="0"/>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"Exclusive Assets"</w:t>
            </w:r>
          </w:p>
        </w:tc>
        <w:tc>
          <w:tcPr/>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Assets used exclusively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provision of the Deliverables;</w:t>
            </w:r>
          </w:p>
        </w:tc>
      </w:tr>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p>
        </w:tc>
        <w:tc>
          <w:tcPr/>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w:t>
            </w:r>
          </w:p>
        </w:tc>
      </w:tr>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Manager"</w:t>
            </w:r>
          </w:p>
        </w:tc>
        <w:tc>
          <w:tcPr/>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appointed by each Party to manage their respective obligations under this Schedule;</w:t>
            </w:r>
          </w:p>
        </w:tc>
      </w:tr>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Plan”</w:t>
            </w:r>
          </w:p>
        </w:tc>
        <w:tc>
          <w:tcPr/>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produced and updated by the Supplier during the Initial Period in accordance with Paragraph 4 of this Schedule;</w:t>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Book Value"</w:t>
            </w:r>
          </w:p>
        </w:tc>
        <w:tc>
          <w:tcPr/>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current net book value of the relevant Supplier Asset(s) calculated in accordance with the DPS Application or Order Tender (if stated) or (if not stated) the depreciation policy of the Supplier (which the Supplier shall ensure is in accordance with Good Industry Practice);</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"Non-Exclusive Assets"</w:t>
            </w:r>
          </w:p>
        </w:tc>
        <w:tc>
          <w:tcPr/>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Supplier Assets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connection with the Deliverables but which are also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other purposes;</w:t>
            </w:r>
          </w:p>
        </w:tc>
      </w:tr>
      <w:tr>
        <w:trPr>
          <w:cantSplit w:val="0"/>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p>
        </w:tc>
        <w:tc>
          <w:tcPr/>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 and configuration database referred to in Paragraph 2.2 of this Schedule; </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Goods"</w:t>
            </w:r>
          </w:p>
        </w:tc>
        <w:tc>
          <w:tcPr/>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Services"</w:t>
            </w:r>
          </w:p>
        </w:tc>
        <w:tc>
          <w:tcPr/>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w:t>
            </w:r>
          </w:p>
        </w:tc>
        <w:tc>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to be performed by the Supplier pursuant to the Exit Plan, and other assistance required by the Buyer pursuant to the Termination Assistance Notice;</w:t>
            </w:r>
          </w:p>
        </w:tc>
      </w:tr>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p>
        </w:tc>
        <w:tc>
          <w:tcPr/>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5.1 of this Schedule;</w:t>
            </w:r>
          </w:p>
        </w:tc>
      </w:tr>
      <w:tr>
        <w:trPr>
          <w:cantSplit w:val="0"/>
          <w:tblHeader w:val="0"/>
        </w:trPr>
        <w:tc>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Period"</w:t>
            </w:r>
          </w:p>
        </w:tc>
        <w:tc>
          <w:tcPr/>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Assets"</w:t>
            </w:r>
          </w:p>
        </w:tc>
        <w:tc>
          <w:tcPr/>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Exclusive Assets which are capable of legal transfer to the Buyer;</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Contracts"</w:t>
            </w:r>
          </w:p>
        </w:tc>
        <w:tc>
          <w:tcPr/>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p>
        </w:tc>
        <w:tc>
          <w:tcPr/>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8.2.1 of this Schedule;</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p>
        </w:tc>
        <w:tc>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8.2.3 of this Schedule.</w:t>
            </w:r>
          </w:p>
        </w:tc>
      </w:tr>
    </w:tbl>
    <w:p w:rsidR="00000000" w:rsidDel="00000000" w:rsidP="00000000" w:rsidRDefault="00000000" w:rsidRPr="00000000" w14:paraId="0000002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always be prepared for contract exit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Contract Period, the Supplier shall promptly:</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29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Exclusive Assets listed in the Registers are clearly physically identified as such; and</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Assisting re-competition for Deliverables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Exit Plan</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Plan shall set out, as a minimum:</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both the transfer and cessation processes, including a timetable; </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Deliverables will transfer to the Replacement Supplier and/or the Buyer;</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disposal of any redundant Deliverables and materials;</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or assistance reasonably required by the Buyer or a Replacement Supplier.</w:t>
      </w:r>
    </w:p>
    <w:p w:rsidR="00000000" w:rsidDel="00000000" w:rsidP="00000000" w:rsidRDefault="00000000" w:rsidRPr="00000000" w14:paraId="0000004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4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and update the Exit Plan (and risk management plan) no less frequently than: </w:t>
      </w:r>
    </w:p>
    <w:p w:rsidR="00000000" w:rsidDel="00000000" w:rsidP="00000000" w:rsidRDefault="00000000" w:rsidRPr="00000000" w14:paraId="0000004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[six (6)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throughout the Contract Period; and</w:t>
      </w:r>
    </w:p>
    <w:p w:rsidR="00000000" w:rsidDel="00000000" w:rsidP="00000000" w:rsidRDefault="00000000" w:rsidRPr="00000000" w14:paraId="0000004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 request from the Buyer for an up-to-date copy of the Exit Plan; </w:t>
      </w:r>
    </w:p>
    <w:p w:rsidR="00000000" w:rsidDel="00000000" w:rsidP="00000000" w:rsidRDefault="00000000" w:rsidRPr="00000000" w14:paraId="0000004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 Termination Assistance Notice,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ten (10)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date of the Termination Assistance Notice;</w:t>
      </w:r>
    </w:p>
    <w:p w:rsidR="00000000" w:rsidDel="00000000" w:rsidP="00000000" w:rsidRDefault="00000000" w:rsidRPr="00000000" w14:paraId="0000004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any material change to the Deliverables (including all changes under the Variation Procedure); and  </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jointly review and verify the Exit Plan if required by the Buyer and promptly correct any identified failures.</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version of an Exit Plan agreed between the parties shall not be superseded by any draft submitted by the Supplier.</w:t>
      </w:r>
    </w:p>
    <w:p w:rsidR="00000000" w:rsidDel="00000000" w:rsidP="00000000" w:rsidRDefault="00000000" w:rsidRPr="00000000" w14:paraId="0000004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the Termination Assistance required; and</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extension shall extend the Termination Assistance Period beyond the date twelve (12) Months after the End Date; and </w:t>
      </w:r>
    </w:p>
    <w:p w:rsidR="00000000" w:rsidDel="00000000" w:rsidP="00000000" w:rsidRDefault="00000000" w:rsidRPr="00000000" w14:paraId="0000005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Period </w:t>
      </w:r>
      <w:r w:rsidDel="00000000" w:rsidR="00000000" w:rsidRPr="00000000">
        <w:rPr>
          <w:rtl w:val="0"/>
        </w:rPr>
      </w:r>
    </w:p>
    <w:p w:rsidR="00000000" w:rsidDel="00000000" w:rsidP="00000000" w:rsidRDefault="00000000" w:rsidRPr="00000000" w14:paraId="0000005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Termination Assistance Period the Supplier shall:</w:t>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reallocate resources to provide such assistance without additional costs to the Buyer;</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Buyer's request and on reasonable notice, deliver up-to-date Registers to the Buyer;</w:t>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when the contract is terminated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of its obligations contained in the Exit Plan.</w:t>
      </w:r>
    </w:p>
    <w:p w:rsidR="00000000" w:rsidDel="00000000" w:rsidP="00000000" w:rsidRDefault="00000000" w:rsidRPr="00000000" w14:paraId="0000006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vacate any Buyer Premises;</w:t>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relating to the Deliverables as remains in the possession or control of the Supplier; and</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Assets, Sub-contracts and Software</w:t>
      </w:r>
    </w:p>
    <w:p w:rsidR="00000000" w:rsidDel="00000000" w:rsidP="00000000" w:rsidRDefault="00000000" w:rsidRPr="00000000" w14:paraId="0000006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enter into or vary any Sub-contract or licence for any software in connection with the Deliverables; or</w:t>
      </w:r>
    </w:p>
    <w:p w:rsidR="00000000" w:rsidDel="00000000" w:rsidP="00000000" w:rsidRDefault="00000000" w:rsidRPr="00000000" w14:paraId="0000006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bookmarkStart w:colFirst="0" w:colLast="0" w:name="bookmark=id.49x2ik5" w:id="29"/>
    <w:bookmarkEnd w:id="29"/>
    <w:p w:rsidR="00000000" w:rsidDel="00000000" w:rsidP="00000000" w:rsidRDefault="00000000" w:rsidRPr="00000000" w14:paraId="0000006D">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w:t>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Exclusive Assets that are not Transferable Assets; and </w:t>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Non-Exclusive Assets,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Replacement Supplier requires the continued use of; and</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936" w:right="0" w:hanging="349.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assignments from the Supplier or join with the Supplier in procuring a novation of each Transferring Contract; and</w:t>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7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 charges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ividing the bills </w:t>
      </w:r>
      <w:r w:rsidDel="00000000" w:rsidR="00000000" w:rsidRPr="00000000">
        <w:rPr>
          <w:rtl w:val="0"/>
        </w:rPr>
      </w:r>
    </w:p>
    <w:p w:rsidR="00000000" w:rsidDel="00000000" w:rsidP="00000000" w:rsidRDefault="00000000" w:rsidRPr="00000000" w14:paraId="0000008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shall be annualised and divided by 365 to reach a daily rate;</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or entitled to (as the case may be) the rest of the invoice.</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RM6241</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w:t>
    </w:r>
    <w:bookmarkStart w:colFirst="0" w:colLast="0" w:name="bookmark=id.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Framework Ref: RM</w:t>
      <w:tab/>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10 (Exit Management)</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355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rsid w:val="00130970"/>
    <w:pPr>
      <w:numPr>
        <w:ilvl w:val="1"/>
        <w:numId w:val="1"/>
      </w:numPr>
      <w:adjustRightInd w:val="0"/>
      <w:spacing w:after="120" w:before="120" w:line="240" w:lineRule="auto"/>
      <w:ind w:left="936" w:hanging="576"/>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numPr>
        <w:numId w:val="5"/>
      </w:numPr>
      <w:spacing w:after="240" w:line="240" w:lineRule="auto"/>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numPr>
        <w:ilvl w:val="1"/>
        <w:numId w:val="5"/>
      </w:numPr>
      <w:spacing w:after="210" w:line="264" w:lineRule="auto"/>
      <w:jc w:val="both"/>
    </w:pPr>
    <w:rPr>
      <w:rFonts w:ascii="Times New Roman" w:cs="Times New Roman" w:eastAsia="Times New Roman" w:hAnsi="Times New Roman"/>
      <w:sz w:val="23"/>
      <w:szCs w:val="20"/>
    </w:rPr>
  </w:style>
  <w:style w:type="paragraph" w:styleId="Schedule3" w:customStyle="1">
    <w:name w:val="Schedule 3"/>
    <w:basedOn w:val="Normal"/>
    <w:pPr>
      <w:numPr>
        <w:ilvl w:val="2"/>
        <w:numId w:val="5"/>
      </w:numPr>
      <w:spacing w:after="210" w:line="264" w:lineRule="auto"/>
      <w:jc w:val="both"/>
    </w:pPr>
    <w:rPr>
      <w:rFonts w:ascii="Times New Roman" w:cs="Times New Roman" w:eastAsia="Times New Roman" w:hAnsi="Times New Roman"/>
      <w:sz w:val="23"/>
      <w:szCs w:val="20"/>
    </w:rPr>
  </w:style>
  <w:style w:type="paragraph" w:styleId="Schedule4" w:customStyle="1">
    <w:name w:val="Schedule 4"/>
    <w:basedOn w:val="Normal"/>
    <w:pPr>
      <w:numPr>
        <w:ilvl w:val="3"/>
        <w:numId w:val="5"/>
      </w:numPr>
      <w:spacing w:after="210" w:line="264" w:lineRule="auto"/>
      <w:jc w:val="both"/>
    </w:pPr>
    <w:rPr>
      <w:rFonts w:ascii="Times New Roman" w:cs="Times New Roman" w:eastAsia="Times New Roman" w:hAnsi="Times New Roman"/>
      <w:sz w:val="23"/>
      <w:szCs w:val="20"/>
    </w:rPr>
  </w:style>
  <w:style w:type="paragraph" w:styleId="Schedule5" w:customStyle="1">
    <w:name w:val="Schedule 5"/>
    <w:basedOn w:val="Normal"/>
    <w:next w:val="Normal"/>
    <w:pPr>
      <w:numPr>
        <w:ilvl w:val="4"/>
        <w:numId w:val="5"/>
      </w:numPr>
      <w:spacing w:after="210" w:line="264" w:lineRule="auto"/>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numPr>
        <w:ilvl w:val="5"/>
        <w:numId w:val="5"/>
      </w:numPr>
      <w:spacing w:after="360" w:line="312" w:lineRule="auto"/>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numPr>
        <w:ilvl w:val="6"/>
        <w:numId w:val="5"/>
      </w:numPr>
      <w:spacing w:after="60" w:before="120" w:line="264" w:lineRule="auto"/>
      <w:jc w:val="both"/>
    </w:pPr>
    <w:rPr>
      <w:rFonts w:ascii="Times New Roman Bold" w:cs="Times New Roman" w:eastAsia="Times New Roman" w:hAnsi="Times New Roman Bold"/>
      <w:b w:val="1"/>
      <w:sz w:val="23"/>
      <w:szCs w:val="20"/>
    </w:rPr>
  </w:style>
  <w:style w:type="paragraph" w:styleId="Schedule8" w:customStyle="1">
    <w:name w:val="Schedule 8"/>
    <w:basedOn w:val="Normal"/>
    <w:pPr>
      <w:numPr>
        <w:ilvl w:val="7"/>
        <w:numId w:val="5"/>
      </w:numPr>
      <w:spacing w:after="210" w:line="264" w:lineRule="auto"/>
      <w:jc w:val="both"/>
    </w:pPr>
    <w:rPr>
      <w:rFonts w:ascii="Times New Roman" w:cs="Times New Roman" w:eastAsia="Times New Roman" w:hAnsi="Times New Roman"/>
      <w:sz w:val="23"/>
      <w:szCs w:val="20"/>
    </w:rPr>
  </w:style>
  <w:style w:type="paragraph" w:styleId="Schedule9" w:customStyle="1">
    <w:name w:val="Schedule 9"/>
    <w:basedOn w:val="Normal"/>
    <w:next w:val="Normal"/>
    <w:pPr>
      <w:numPr>
        <w:ilvl w:val="8"/>
        <w:numId w:val="5"/>
      </w:numPr>
      <w:spacing w:after="210" w:line="264" w:lineRule="auto"/>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numPr>
        <w:numId w:val="8"/>
      </w:numPr>
      <w:spacing w:after="210" w:line="264" w:lineRule="auto"/>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ascii="Calibri" w:cs="Times New Roman" w:hAnsi="Calibri"/>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Revision">
    <w:name w:val="Revision"/>
    <w:hidden w:val="1"/>
    <w:uiPriority w:val="99"/>
    <w:semiHidden w:val="1"/>
    <w:rsid w:val="00130970"/>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V6qnE9/YwC80T5uQ6OSOUXOKQ==">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2020-02-27T11:56:00Z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