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rPr>
          <w:rFonts w:ascii="Arial" w:cs="Arial" w:eastAsia="Arial" w:hAnsi="Arial"/>
          <w:sz w:val="36"/>
          <w:szCs w:val="36"/>
        </w:rPr>
      </w:pPr>
      <w:r w:rsidDel="00000000" w:rsidR="00000000" w:rsidRPr="00000000">
        <w:rPr>
          <w:rFonts w:ascii="Arial" w:cs="Arial" w:eastAsia="Arial" w:hAnsi="Arial"/>
          <w:b w:val="1"/>
          <w:sz w:val="36"/>
          <w:szCs w:val="36"/>
          <w:rtl w:val="0"/>
        </w:rPr>
        <w:t xml:space="preserve">Order Schedule 19 (Scottish Law)</w:t>
      </w:r>
      <w:r w:rsidDel="00000000" w:rsidR="00000000" w:rsidRPr="00000000">
        <w:rPr>
          <w:rFonts w:ascii="Arial" w:cs="Arial" w:eastAsia="Arial" w:hAnsi="Arial"/>
          <w:sz w:val="36"/>
          <w:szCs w:val="36"/>
          <w:rtl w:val="0"/>
        </w:rPr>
        <w:t xml:space="preserve"> </w:t>
      </w:r>
    </w:p>
    <w:p w:rsidR="00000000" w:rsidDel="00000000" w:rsidP="00000000" w:rsidRDefault="00000000" w:rsidRPr="00000000" w14:paraId="0000000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When you should use this Schedule</w:t>
      </w:r>
    </w:p>
    <w:p w:rsidR="00000000" w:rsidDel="00000000" w:rsidP="00000000" w:rsidRDefault="00000000" w:rsidRPr="00000000" w14:paraId="00000004">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Order Schedule 19 may be included to adapt the Core Terms and Schedules so that the Order Contract is under Scottish Law.</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Changes to the Core Terms</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19, (Other people’s rights in this contract) – “Contract Rights of Third Parties Act (CRTPA)” shall be replaced by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 (Third Party Rights) (Scotland) Act 2017 (CTPRSA)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References 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CRTPA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replaced by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CTPRSA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34 (Resolving Disputes):</w:t>
      </w:r>
    </w:p>
    <w:p w:rsidR="00000000" w:rsidDel="00000000" w:rsidP="00000000" w:rsidRDefault="00000000" w:rsidRPr="00000000" w14:paraId="0000000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34.2 – add the following wording: “The governing law and jurisdiction provisions of CEDR’s Model Mediation Agreement shall be deemed to be amended to refer to the laws of Scotland and the Court of Session.”</w:t>
      </w:r>
    </w:p>
    <w:p w:rsidR="00000000" w:rsidDel="00000000" w:rsidP="00000000" w:rsidRDefault="00000000" w:rsidRPr="00000000" w14:paraId="0000000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34.3  The term “Courts of England and Wales” shall be amended to read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“Court of Session”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34.4 – Conduct of Arbitration. </w:t>
      </w:r>
    </w:p>
    <w:p w:rsidR="00000000" w:rsidDel="00000000" w:rsidP="00000000" w:rsidRDefault="00000000" w:rsidRPr="00000000" w14:paraId="0000000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words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under the London Court of International Arbitration rules current at the time of the Dispute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deleted.</w:t>
      </w:r>
    </w:p>
    <w:p w:rsidR="00000000" w:rsidDel="00000000" w:rsidP="00000000" w:rsidRDefault="00000000" w:rsidRPr="00000000" w14:paraId="0000000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seat or legal place of the arbitration shall be amended so that it takes place 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Edinburgh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opposed 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London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 the following wording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arbitration shall be conducted in accordance with the Arbitration (Scotland) Act 2010 subject to disapplication in whole or in part of any of the default rules of the Scottish Arbitration Rules comprising Schedule 1 to that Act as the Parties may agree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35 (Which Laws apply) – the words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English Law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replaced by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Law of Scotland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Changes to the Joint Schedules</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Joint Schedule 1 – Definitions shall be amended as follows:</w:t>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definition of “CRTPA” shall be replaced by “”CTPRSA” the Contract (Third Party Rights) (Scotland) Act 2017”.</w:t>
      </w:r>
    </w:p>
    <w:p w:rsidR="00000000" w:rsidDel="00000000" w:rsidP="00000000" w:rsidRDefault="00000000" w:rsidRPr="00000000" w14:paraId="0000001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definition of “Dispute” the reference 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English law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replaced by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Law of Scotland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the reference to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English courts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replaced by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courts of Scotland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definition of “Insolvency Event” – the word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“Assignment”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replaced by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“Assignation”.</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definition of “Losses” the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word</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“tort”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replaced with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“delict”.</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part (a) of the definition of “Intellectual Property Rights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words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“Know-How”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“trade secrets”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 to pre-existing know-how and trade secrets only</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“Working Day”: reference to “England and Wales” replaced by “Scotland”</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Guarantee is selected, the following provisions of Joint Schedule 8 – Guarantee shall be amended as follows: </w:t>
      </w:r>
    </w:p>
    <w:p w:rsidR="00000000" w:rsidDel="00000000" w:rsidP="00000000" w:rsidRDefault="00000000" w:rsidRPr="00000000" w14:paraId="0000001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Annex 1 – Form of Guarantee WHEREAS (B) “deed” replaced by “contract”</w:t>
      </w:r>
    </w:p>
    <w:p w:rsidR="00000000" w:rsidDel="00000000" w:rsidP="00000000" w:rsidRDefault="00000000" w:rsidRPr="00000000" w14:paraId="0000001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Throughout the whole Schedule delete all references to “deed of Guarantee” merely express as “Guarantee” </w:t>
      </w:r>
    </w:p>
    <w:p w:rsidR="00000000" w:rsidDel="00000000" w:rsidP="00000000" w:rsidRDefault="00000000" w:rsidRPr="00000000" w14:paraId="0000001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4.1 Delete references to “England and Wales” when referring to addresses.</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12 – the word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assignment”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amended to “assignation”.</w:t>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14 –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Contract (Rights of Third Parties) Act 1999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amended 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Contract (Third Party Rights) (Scotland) Act 2017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16 Governing Law (add “and Jurisdiction”). References 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“Courts of England”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be replaced by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“Court of Session”.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References 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“English”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be replaced by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“Scottish”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References 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England and Wales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be replaced by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Scotland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 execution strip to read as follows: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16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“IN WITNESS WHEREOF these presents consisting of this page and the [ ] preceding pages are executed in duplicate as follows: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88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SIGNATURE: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88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Name: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88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Position: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88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Place of signing:</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88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Date: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88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Witness: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88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Witness name: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2880" w:right="0" w:hanging="72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Arial" w:cs="Arial" w:eastAsia="Arial" w:hAnsi="Arial"/>
          <w:b w:val="0"/>
          <w:i w:val="1"/>
          <w:smallCaps w:val="1"/>
          <w:strike w:val="0"/>
          <w:color w:val="000000"/>
          <w:sz w:val="24"/>
          <w:szCs w:val="24"/>
          <w:u w:val="none"/>
          <w:shd w:fill="auto" w:val="clear"/>
          <w:vertAlign w:val="baseline"/>
          <w:rtl w:val="0"/>
        </w:rPr>
        <w:t xml:space="preserve">Witness address:”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Changes to Order Schedules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sz w:val="24"/>
          <w:szCs w:val="24"/>
          <w:rtl w:val="0"/>
        </w:rPr>
        <w:t xml:space="preserve">: Insert any amendments to the Order schedules where Scottish Law applies]</w:t>
      </w:r>
    </w:p>
    <w:p w:rsidR="00000000" w:rsidDel="00000000" w:rsidP="00000000" w:rsidRDefault="00000000" w:rsidRPr="00000000" w14:paraId="0000002C">
      <w:pPr>
        <w:rPr>
          <w:smallCaps w:val="1"/>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References to Legislation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57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legislation applicable to England and Wales only is expressly mentioned in this Order Contract it shall have the effect of substituting the equivalent legislation applicable in Scotland.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99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RM6241</w:t>
    </w:r>
  </w:p>
  <w:p w:rsidR="00000000" w:rsidDel="00000000" w:rsidP="00000000" w:rsidRDefault="00000000" w:rsidRPr="00000000" w14:paraId="00000035">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w:t>
      <w:tab/>
      <w:tab/>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v1.1</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tabs>
        <w:tab w:val="center" w:pos="4513"/>
        <w:tab w:val="right" w:pos="9026"/>
      </w:tabs>
      <w:spacing w:after="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Order Schedule 19 (Scottish Law)</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Order Ref:</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Arial" w:cs="Arial" w:eastAsia="Arial" w:hAnsi="Arial"/>
        <w:b w:val="1"/>
        <w:i w:val="0"/>
        <w:smallCaps w:val="0"/>
        <w:strike w:val="0"/>
        <w:color w:val="000000"/>
        <w:sz w:val="20"/>
        <w:szCs w:val="20"/>
        <w:u w:val="none"/>
        <w:vertAlign w:val="baseline"/>
      </w:rPr>
    </w:lvl>
    <w:lvl w:ilvl="1">
      <w:start w:val="1"/>
      <w:numFmt w:val="decimal"/>
      <w:lvlText w:val="%1.%2"/>
      <w:lvlJc w:val="left"/>
      <w:pPr>
        <w:ind w:left="1440" w:hanging="720"/>
      </w:pPr>
      <w:rPr>
        <w:rFonts w:ascii="Calibri" w:cs="Calibri" w:eastAsia="Calibri" w:hAnsi="Calibri"/>
        <w:b w:val="0"/>
        <w:i w:val="0"/>
        <w:smallCaps w:val="0"/>
        <w:strike w:val="0"/>
        <w:color w:val="000000"/>
        <w:sz w:val="22"/>
        <w:szCs w:val="22"/>
        <w:u w:val="none"/>
        <w:vertAlign w:val="baseline"/>
      </w:rPr>
    </w:lvl>
    <w:lvl w:ilvl="2">
      <w:start w:val="1"/>
      <w:numFmt w:val="decimal"/>
      <w:lvlText w:val="%1.%2.%3"/>
      <w:lvlJc w:val="left"/>
      <w:pPr>
        <w:ind w:left="1996"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Times New Roman" w:eastAsia="Calibri" w:hAnsi="Calibri"/>
    </w:rPr>
  </w:style>
  <w:style w:type="paragraph" w:styleId="Heading1">
    <w:name w:val="heading 1"/>
    <w:basedOn w:val="Normal"/>
    <w:next w:val="Normal"/>
    <w:link w:val="Heading1Char"/>
    <w:uiPriority w:val="9"/>
    <w:qFormat w:val="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qFormat w:val="1"/>
    <w:pPr>
      <w:numPr>
        <w:numId w:val="1"/>
      </w:numPr>
      <w:tabs>
        <w:tab w:val="left" w:pos="142"/>
      </w:tabs>
      <w:adjustRightInd w:val="0"/>
      <w:spacing w:after="120" w:before="240" w:line="240" w:lineRule="auto"/>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adjustRightInd w:val="0"/>
      <w:spacing w:after="120" w:before="120" w:line="240" w:lineRule="auto"/>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ind w:left="2592" w:hanging="936"/>
    </w:pPr>
  </w:style>
  <w:style w:type="paragraph" w:styleId="GPSL5numberedclause" w:customStyle="1">
    <w:name w:val="GPS L5 numbered clause"/>
    <w:basedOn w:val="GPSL4numberedclause"/>
    <w:link w:val="GPSL5numberedclauseChar"/>
    <w:qFormat w:val="1"/>
    <w:pPr>
      <w:numPr>
        <w:ilvl w:val="4"/>
      </w:numPr>
    </w:pPr>
  </w:style>
  <w:style w:type="paragraph" w:styleId="GPSL2NumberedBoldHeading" w:customStyle="1">
    <w:name w:val="GPS L2 Numbered Bold Heading"/>
    <w:basedOn w:val="Normal"/>
    <w:qFormat w:val="1"/>
    <w:pPr>
      <w:numPr>
        <w:ilvl w:val="1"/>
        <w:numId w:val="1"/>
      </w:numPr>
      <w:adjustRightInd w:val="0"/>
      <w:spacing w:after="120" w:before="120" w:line="240" w:lineRule="auto"/>
      <w:ind w:left="936" w:hanging="576"/>
      <w:jc w:val="both"/>
    </w:pPr>
    <w:rPr>
      <w:rFonts w:cs="Arial" w:eastAsia="Times New Roman"/>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rPr>
      <w:rFonts w:ascii="Tahoma" w:cs="Tahoma" w:eastAsia="Calibri" w:hAnsi="Tahoma"/>
      <w:sz w:val="16"/>
      <w:szCs w:val="16"/>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SchAnnexname" w:customStyle="1">
    <w:name w:val="GPS Sch Annex name"/>
    <w:basedOn w:val="GPSSchTitleandNumber"/>
    <w:link w:val="GPSSchAnnexnameChar"/>
    <w:qFormat w:val="1"/>
    <w:pPr>
      <w:outlineLvl w:val="1"/>
    </w:pPr>
    <w:rPr>
      <w:rFonts w:ascii="Calibri" w:hAnsi="Calibri"/>
      <w:sz w:val="20"/>
    </w:rPr>
  </w:style>
  <w:style w:type="paragraph" w:styleId="GPSL1SCHEDULEHeading" w:customStyle="1">
    <w:name w:val="GPS L1 SCHEDULE Heading"/>
    <w:basedOn w:val="GPSL1CLAUSEHEADING"/>
    <w:link w:val="GPSL1SCHEDULEHeadingChar"/>
    <w:qFormat w:val="1"/>
    <w:pPr>
      <w:numPr>
        <w:numId w:val="0"/>
      </w:numPr>
      <w:tabs>
        <w:tab w:val="clear" w:pos="142"/>
        <w:tab w:val="left" w:pos="0"/>
      </w:tabs>
      <w:ind w:left="360" w:hanging="360"/>
      <w:outlineLvl w:val="9"/>
    </w:p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paragraph" w:styleId="GPSSchPart" w:customStyle="1">
    <w:name w:val="GPS Sch Part"/>
    <w:basedOn w:val="GPSSchAnnexname"/>
    <w:link w:val="GPSSchPartChar"/>
    <w:qFormat w:val="1"/>
    <w:pPr>
      <w:outlineLvl w:val="9"/>
    </w:p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character" w:styleId="GPSSchPartChar" w:customStyle="1">
    <w:name w:val="GPS Sch Part Char"/>
    <w:link w:val="GPSSchPart"/>
    <w:rPr>
      <w:rFonts w:ascii="Calibri" w:cs="Times New Roman" w:eastAsia="STZhongsong" w:hAnsi="Calibri"/>
      <w:b w:val="1"/>
      <w:caps w:val="1"/>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styleId="BodyTextIndentChar" w:customStyle="1">
    <w:name w:val="Body Text Indent Char"/>
    <w:basedOn w:val="DefaultParagraphFont"/>
    <w:link w:val="BodyTextIndent"/>
    <w:rPr>
      <w:rFonts w:ascii="Calibri" w:cs="Times New Roman"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paragraph" w:styleId="GPSL2Indent" w:customStyle="1">
    <w:name w:val="GPS L2 Indent"/>
    <w:basedOn w:val="Normal"/>
    <w:link w:val="GPSL2IndentChar"/>
    <w:qFormat w:val="1"/>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character" w:styleId="GPSL2IndentChar" w:customStyle="1">
    <w:name w:val="GPS L2 Indent Char"/>
    <w:link w:val="GPSL2Indent"/>
    <w:rPr>
      <w:rFonts w:ascii="Calibri" w:cs="Arial" w:eastAsia="Times New Roman" w:hAnsi="Calibri"/>
      <w:szCs w:val="24"/>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Pr>
      <w:vertAlign w:val="superscript"/>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Pr>
      <w:rFonts w:asciiTheme="majorHAnsi" w:cstheme="majorBidi" w:eastAsiaTheme="majorEastAsia" w:hAnsiTheme="majorHAnsi"/>
      <w:b w:val="1"/>
      <w:bCs w:val="1"/>
      <w:color w:val="4f81bd" w:themeColor="accent1"/>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HH6G45WEB+gn7PgQBwYd1m/fA==">AMUW2mXQlyUkOS8vwTgZFs+/EzPvUWSNaeVZDLqBcroyPdRRsoNCm6SAHvSPhJw4Gh/eMlFWTnQFtZu2hS34abZFI37qujecVJwyLxry693P+3ckEuJlUAdV9ALSfgZ6n8W2p6s6YnUV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2020-11-20T14:13:00Z</dcterms:created>
  <dc:creator>Christopher Stanley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