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DPS Schedule 4 (DPS Management)</w:t>
      </w:r>
    </w:p>
    <w:p w:rsidR="00000000" w:rsidDel="00000000" w:rsidP="00000000" w:rsidRDefault="00000000" w:rsidRPr="00000000" w14:paraId="000000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3">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314.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28"/>
        <w:gridCol w:w="5386"/>
        <w:tblGridChange w:id="0">
          <w:tblGrid>
            <w:gridCol w:w="2928"/>
            <w:gridCol w:w="5386"/>
          </w:tblGrid>
        </w:tblGridChange>
      </w:tblGrid>
      <w:tr>
        <w:trPr>
          <w:cantSplit w:val="0"/>
          <w:tblHeader w:val="0"/>
        </w:trPr>
        <w:tc>
          <w:tcPr>
            <w:shd w:fill="auto"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DPS Manager"</w:t>
            </w:r>
          </w:p>
        </w:tc>
        <w:tc>
          <w:tcPr>
            <w:shd w:fill="auto" w:val="clear"/>
          </w:tcPr>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3.1 of this Schedule; and</w:t>
            </w:r>
          </w:p>
        </w:tc>
      </w:tr>
      <w:tr>
        <w:trPr>
          <w:cantSplit w:val="0"/>
          <w:tblHeader w:val="0"/>
        </w:trPr>
        <w:tc>
          <w:tcPr>
            <w:shd w:fill="auto"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Review Meetings"</w:t>
            </w:r>
          </w:p>
        </w:tc>
        <w:tc>
          <w:tcPr>
            <w:shd w:fill="auto" w:val="clear"/>
          </w:tcPr>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3.9 of this Schedule.</w:t>
            </w:r>
          </w:p>
        </w:tc>
      </w:tr>
    </w:tbl>
    <w:p w:rsidR="00000000" w:rsidDel="00000000" w:rsidP="00000000" w:rsidRDefault="00000000" w:rsidRPr="00000000" w14:paraId="0000000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CCS and the Supplier will work together</w:t>
      </w:r>
    </w:p>
    <w:p w:rsidR="00000000" w:rsidDel="00000000" w:rsidP="00000000" w:rsidRDefault="00000000" w:rsidRPr="00000000" w14:paraId="0000000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successful delivery of this Contract will rely on the ability of the Supplier and CCS to develop a strategic relationship immediately following the conclusion of this Contract and maintaining this relationship throughout the DPS Contract Period. </w:t>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achieve this strategic relationship, there will be a requirement to adopt proactive DPS management activities which will be informed by quality Management Information, and the sharing of information between the Supplier and CCS.</w:t>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Schedule outlines the general structures and management activities that the Parties shall follow during the DPS Contract Period.</w:t>
      </w:r>
    </w:p>
    <w:p w:rsidR="00000000" w:rsidDel="00000000" w:rsidP="00000000" w:rsidRDefault="00000000" w:rsidRPr="00000000" w14:paraId="0000000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DPS Management</w:t>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0" w:line="240" w:lineRule="auto"/>
        <w:ind w:left="36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DPS Management Structure</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 suitably qualified nominated contact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DPS Manager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who will take overall responsibility for delivering the Goods and/or Services required within this Contract, as well as a suitably qualified deputy to act in their absence.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put in place a structure to manage this Contract in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accordance with DPS Schedule 1 (Specification) and the Performance Indicators.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governance structure will be agreed between the Parties as soon as reasonably practicable following the DPS Start Date.</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discussions between the Parties following the DPS Start Date, where requested by CCS the Supplier shall produce and issue to CCS a draft supplier action plan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Action Plan"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CCS shall not unreasonably withhold or delay its agreement to the draft Supplier Action Plan. The Supplier Action Plan shall be agreed between the Parties and come into effect within two weeks from receipt by the Supplier of the draft Supplier Action Plan. </w:t>
      </w:r>
      <w:r w:rsidDel="00000000" w:rsidR="00000000" w:rsidRPr="00000000">
        <w:rPr>
          <w:rtl w:val="0"/>
        </w:rPr>
      </w:r>
    </w:p>
    <w:p w:rsidR="00000000" w:rsidDel="00000000" w:rsidP="00000000" w:rsidRDefault="00000000" w:rsidRPr="00000000" w14:paraId="00000012">
      <w:pPr>
        <w:pageBreakBefore w:val="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Action Plan shall be maintained and updated on an ongoing basis by CCS. Any changes to the Supplier Action Plan shall be notified by CCS to the Supplier. The Supplier shall not unreasonably withhold its agreement to any changes to the Supplier Action Plan. Any such changes shall, unless CCS otherwise Approves, be agreed between the Parties and come into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effect within two weeks from receipt by the Supplier of CCS’s notification.</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to comply with its obligations in the Supplier Action Plan as updated from time to time.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 all requests from CCS in regard to compliance requirements as required including:</w:t>
      </w:r>
    </w:p>
    <w:p w:rsidR="00000000" w:rsidDel="00000000" w:rsidP="00000000" w:rsidRDefault="00000000" w:rsidRPr="00000000" w14:paraId="0000001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Dun and Bradstreet risk failure score monitoring;</w:t>
      </w:r>
    </w:p>
    <w:p w:rsidR="00000000" w:rsidDel="00000000" w:rsidP="00000000" w:rsidRDefault="00000000" w:rsidRPr="00000000" w14:paraId="0000001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evidence that the Required Insurances and Additional Insurances have been renewed and maintained;</w:t>
      </w:r>
    </w:p>
    <w:p w:rsidR="00000000" w:rsidDel="00000000" w:rsidP="00000000" w:rsidRDefault="00000000" w:rsidRPr="00000000" w14:paraId="0000001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invoice payment performance; and</w:t>
      </w:r>
    </w:p>
    <w:p w:rsidR="00000000" w:rsidDel="00000000" w:rsidP="00000000" w:rsidRDefault="00000000" w:rsidRPr="00000000" w14:paraId="0000001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verification of required accreditations &amp; certifications.</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Suppliers should participate in further competitions when identified by appropriate filters using the Platform. A repeated failure to bid on further competitions without an acceptable reason may result in the Supplier being suspended from the DPS, in accordance with Clause 10.7 (Partially ending and suspending the contract), for a period as decided by CCS. </w:t>
      </w:r>
    </w:p>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Review Meetings</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performance review meetings will take place at CCS’s premises throughout the DPS Contract Period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("Supplier Review Meetings")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such times and frequencies as CCS determine from time to time (which are anticipated to be once every Month or less)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Parties shall be flexible about the timings of these meetings.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Review Meetings will review the Supplier’s performance under this Contract and, where applicable, the Supplier’s adherence to the Supplier Action Plan. The agenda for each Supplier Review Meeting shall be set by CCS and sent to the Supplier in advance.</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may ask the Supplier to discuss any instances known to the Supplier where any Other Contracting Authority decided not to use this DPS Contract for their order.</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Review Meetings shall be attended, as a minimum, by CCS Representative(s) and the Supplier DPS Manager.</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the Supplier’s Performance will be measured</w:t>
      </w:r>
    </w:p>
    <w:p w:rsidR="00000000" w:rsidDel="00000000" w:rsidP="00000000" w:rsidRDefault="00000000" w:rsidRPr="00000000" w14:paraId="00000023">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performance will be measured by the following Performance Indicators (“PI”):</w:t>
      </w:r>
    </w:p>
    <w:tbl>
      <w:tblPr>
        <w:tblStyle w:val="Table2"/>
        <w:tblW w:w="800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93"/>
        <w:gridCol w:w="1476"/>
        <w:gridCol w:w="2234"/>
        <w:tblGridChange w:id="0">
          <w:tblGrid>
            <w:gridCol w:w="4293"/>
            <w:gridCol w:w="1476"/>
            <w:gridCol w:w="223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4">
            <w:pPr>
              <w:keepNext w:val="1"/>
              <w:keepLines w:val="0"/>
              <w:widowControl w:val="1"/>
              <w:pBdr>
                <w:top w:space="0" w:sz="0" w:val="nil"/>
                <w:left w:space="0" w:sz="0" w:val="nil"/>
                <w:bottom w:space="0" w:sz="0" w:val="nil"/>
                <w:right w:space="0" w:sz="0" w:val="nil"/>
                <w:between w:space="0" w:sz="0" w:val="nil"/>
              </w:pBdr>
              <w:shd w:fill="auto" w:val="clear"/>
              <w:spacing w:after="80" w:before="80" w:line="276" w:lineRule="auto"/>
              <w:ind w:left="1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Indicator (PI)</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5">
            <w:pPr>
              <w:keepNext w:val="1"/>
              <w:keepLines w:val="0"/>
              <w:widowControl w:val="1"/>
              <w:pBdr>
                <w:top w:space="0" w:sz="0" w:val="nil"/>
                <w:left w:space="0" w:sz="0" w:val="nil"/>
                <w:bottom w:space="0" w:sz="0" w:val="nil"/>
                <w:right w:space="0" w:sz="0" w:val="nil"/>
                <w:between w:space="0" w:sz="0" w:val="nil"/>
              </w:pBdr>
              <w:shd w:fill="auto" w:val="clear"/>
              <w:spacing w:after="80" w:before="80" w:line="276" w:lineRule="auto"/>
              <w:ind w:left="1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PI Target </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6">
            <w:pPr>
              <w:keepNext w:val="1"/>
              <w:keepLines w:val="0"/>
              <w:widowControl w:val="1"/>
              <w:pBdr>
                <w:top w:space="0" w:sz="0" w:val="nil"/>
                <w:left w:space="0" w:sz="0" w:val="nil"/>
                <w:bottom w:space="0" w:sz="0" w:val="nil"/>
                <w:right w:space="0" w:sz="0" w:val="nil"/>
                <w:between w:space="0" w:sz="0" w:val="nil"/>
              </w:pBdr>
              <w:shd w:fill="auto" w:val="clear"/>
              <w:spacing w:after="80" w:before="80" w:line="276" w:lineRule="auto"/>
              <w:ind w:left="1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Measured by</w:t>
            </w:r>
          </w:p>
        </w:tc>
      </w:tr>
      <w:tr>
        <w:trPr>
          <w:cantSplit w:val="0"/>
          <w:trHeight w:val="78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after="240" w:before="240" w:lineRule="auto"/>
              <w:ind w:left="40" w:firstLine="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1. MI Returns</w:t>
            </w:r>
          </w:p>
          <w:p w:rsidR="00000000" w:rsidDel="00000000" w:rsidP="00000000" w:rsidRDefault="00000000" w:rsidRPr="00000000" w14:paraId="00000028">
            <w:pPr>
              <w:spacing w:after="240" w:before="240" w:lineRule="auto"/>
              <w:ind w:left="4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All MI returns to be returned to CCS by the 5th Working Day of each month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keepNext w:val="1"/>
              <w:spacing w:after="240" w:before="240"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100% compliance, unless agreed otherwise with CCS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240" w:before="24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Confirmation of receipt and time of receipt by the Authority (as evidenced within the Authority’s data (RMI) warehouse system.</w:t>
            </w:r>
          </w:p>
        </w:tc>
      </w:tr>
      <w:tr>
        <w:trPr>
          <w:cantSplit w:val="0"/>
          <w:trHeight w:val="78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240" w:before="240"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1.1 Invoices</w:t>
            </w:r>
          </w:p>
          <w:p w:rsidR="00000000" w:rsidDel="00000000" w:rsidP="00000000" w:rsidRDefault="00000000" w:rsidRPr="00000000" w14:paraId="0000002C">
            <w:pPr>
              <w:spacing w:after="240" w:before="24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All undisputed invoices to be paid within 30 calendar days of issue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keepNext w:val="1"/>
              <w:spacing w:after="240" w:before="240"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100% compliance, unless agreed otherwise with CCS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240" w:before="24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Confirmation of receipt and time of receipt by the Authority (as evidenced within the Authority’s data (RMI) warehouse system.</w:t>
            </w:r>
          </w:p>
        </w:tc>
      </w:tr>
      <w:tr>
        <w:trPr>
          <w:cantSplit w:val="0"/>
          <w:trHeight w:val="78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240" w:before="240"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2. Supplier Self-Audit</w:t>
            </w:r>
          </w:p>
          <w:p w:rsidR="00000000" w:rsidDel="00000000" w:rsidP="00000000" w:rsidRDefault="00000000" w:rsidRPr="00000000" w14:paraId="00000030">
            <w:pPr>
              <w:spacing w:after="240" w:before="24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Supplier self-audit certificate to be issued to the Authority in accordance with the Dynamic Purchasing System Agreement.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keepNext w:val="1"/>
              <w:spacing w:after="240" w:before="240"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100% delivery compliance, unless agreed otherwise with CCS.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240" w:before="24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Confirmation of receipt and time of receipt by the Authority</w:t>
            </w:r>
          </w:p>
        </w:tc>
      </w:tr>
      <w:tr>
        <w:trPr>
          <w:cantSplit w:val="0"/>
          <w:trHeight w:val="78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240" w:before="240"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3. Audit</w:t>
            </w:r>
          </w:p>
          <w:p w:rsidR="00000000" w:rsidDel="00000000" w:rsidP="00000000" w:rsidRDefault="00000000" w:rsidRPr="00000000" w14:paraId="00000034">
            <w:pPr>
              <w:spacing w:after="240" w:before="24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Audit Actions identified in an Audit Report to be delivered by the dates set out in the Audit Report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keepNext w:val="1"/>
              <w:spacing w:after="240" w:before="240"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100% compliance, unless agreed otherwise with CCS.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240" w:before="24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Confirmation by the Authority of completion of the actions by the dates identified in the Audit</w:t>
            </w:r>
          </w:p>
        </w:tc>
      </w:tr>
      <w:tr>
        <w:trPr>
          <w:cantSplit w:val="0"/>
          <w:trHeight w:val="78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240" w:before="240"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4. Policy Delivery</w:t>
            </w:r>
          </w:p>
          <w:p w:rsidR="00000000" w:rsidDel="00000000" w:rsidP="00000000" w:rsidRDefault="00000000" w:rsidRPr="00000000" w14:paraId="00000038">
            <w:pPr>
              <w:spacing w:after="240" w:before="24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The Supplier will provide a completed Policy Delivery Questionnaire to the Authority including but not limited to information on;</w:t>
            </w:r>
          </w:p>
          <w:p w:rsidR="00000000" w:rsidDel="00000000" w:rsidP="00000000" w:rsidRDefault="00000000" w:rsidRPr="00000000" w14:paraId="00000039">
            <w:pPr>
              <w:spacing w:after="240" w:before="240" w:lineRule="auto"/>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w:t>
            </w:r>
            <w:r w:rsidDel="00000000" w:rsidR="00000000" w:rsidRPr="00000000">
              <w:rPr>
                <w:rFonts w:ascii="Arial" w:cs="Arial" w:eastAsia="Arial" w:hAnsi="Arial"/>
                <w:sz w:val="12"/>
                <w:szCs w:val="12"/>
                <w:highlight w:val="white"/>
                <w:rtl w:val="0"/>
              </w:rPr>
              <w:t xml:space="preserve">        </w:t>
            </w:r>
            <w:r w:rsidDel="00000000" w:rsidR="00000000" w:rsidRPr="00000000">
              <w:rPr>
                <w:rFonts w:ascii="Arial" w:cs="Arial" w:eastAsia="Arial" w:hAnsi="Arial"/>
                <w:sz w:val="22"/>
                <w:szCs w:val="22"/>
                <w:highlight w:val="white"/>
                <w:rtl w:val="0"/>
              </w:rPr>
              <w:t xml:space="preserve">Social Value, </w:t>
            </w:r>
          </w:p>
          <w:p w:rsidR="00000000" w:rsidDel="00000000" w:rsidP="00000000" w:rsidRDefault="00000000" w:rsidRPr="00000000" w14:paraId="0000003A">
            <w:pPr>
              <w:spacing w:after="240" w:before="240" w:lineRule="auto"/>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w:t>
            </w:r>
            <w:r w:rsidDel="00000000" w:rsidR="00000000" w:rsidRPr="00000000">
              <w:rPr>
                <w:rFonts w:ascii="Arial" w:cs="Arial" w:eastAsia="Arial" w:hAnsi="Arial"/>
                <w:sz w:val="12"/>
                <w:szCs w:val="12"/>
                <w:highlight w:val="white"/>
                <w:rtl w:val="0"/>
              </w:rPr>
              <w:t xml:space="preserve">        </w:t>
            </w:r>
            <w:r w:rsidDel="00000000" w:rsidR="00000000" w:rsidRPr="00000000">
              <w:rPr>
                <w:rFonts w:ascii="Arial" w:cs="Arial" w:eastAsia="Arial" w:hAnsi="Arial"/>
                <w:sz w:val="22"/>
                <w:szCs w:val="22"/>
                <w:highlight w:val="white"/>
                <w:rtl w:val="0"/>
              </w:rPr>
              <w:t xml:space="preserve">Carbon Reduction</w:t>
            </w:r>
          </w:p>
          <w:p w:rsidR="00000000" w:rsidDel="00000000" w:rsidP="00000000" w:rsidRDefault="00000000" w:rsidRPr="00000000" w14:paraId="0000003B">
            <w:pPr>
              <w:spacing w:after="240" w:before="240" w:lineRule="auto"/>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w:t>
            </w:r>
            <w:r w:rsidDel="00000000" w:rsidR="00000000" w:rsidRPr="00000000">
              <w:rPr>
                <w:rFonts w:ascii="Arial" w:cs="Arial" w:eastAsia="Arial" w:hAnsi="Arial"/>
                <w:sz w:val="12"/>
                <w:szCs w:val="12"/>
                <w:highlight w:val="white"/>
                <w:rtl w:val="0"/>
              </w:rPr>
              <w:t xml:space="preserve">        </w:t>
            </w:r>
            <w:r w:rsidDel="00000000" w:rsidR="00000000" w:rsidRPr="00000000">
              <w:rPr>
                <w:rFonts w:ascii="Arial" w:cs="Arial" w:eastAsia="Arial" w:hAnsi="Arial"/>
                <w:sz w:val="22"/>
                <w:szCs w:val="22"/>
                <w:highlight w:val="white"/>
                <w:rtl w:val="0"/>
              </w:rPr>
              <w:t xml:space="preserve">Modern Slavery restriction</w:t>
            </w:r>
          </w:p>
          <w:p w:rsidR="00000000" w:rsidDel="00000000" w:rsidP="00000000" w:rsidRDefault="00000000" w:rsidRPr="00000000" w14:paraId="0000003C">
            <w:pPr>
              <w:spacing w:after="240" w:before="240" w:lineRule="auto"/>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Apprenticeships</w:t>
            </w:r>
          </w:p>
          <w:p w:rsidR="00000000" w:rsidDel="00000000" w:rsidP="00000000" w:rsidRDefault="00000000" w:rsidRPr="00000000" w14:paraId="0000003D">
            <w:pPr>
              <w:spacing w:after="240" w:before="24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that has been delivered through Order Contracts under this DPS Agreement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keepNext w:val="1"/>
              <w:spacing w:after="240" w:before="240"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100% delivery compliance, unless agreed otherwise with CCS.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240" w:before="24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Policy Delivery Questionnaire provided to the Authority each year or upon request.</w:t>
            </w:r>
          </w:p>
        </w:tc>
      </w:tr>
      <w:tr>
        <w:trPr>
          <w:cantSplit w:val="0"/>
          <w:trHeight w:val="78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240" w:before="240"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5. Carbon Reduction Plan</w:t>
            </w:r>
          </w:p>
          <w:p w:rsidR="00000000" w:rsidDel="00000000" w:rsidP="00000000" w:rsidRDefault="00000000" w:rsidRPr="00000000" w14:paraId="00000041">
            <w:pPr>
              <w:spacing w:after="240" w:before="240"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For total contract values lower than £5m:</w:t>
            </w:r>
          </w:p>
          <w:p w:rsidR="00000000" w:rsidDel="00000000" w:rsidP="00000000" w:rsidRDefault="00000000" w:rsidRPr="00000000" w14:paraId="00000042">
            <w:pPr>
              <w:spacing w:after="240" w:before="24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 completed Carbon Reduction Plan for the Supplier provided to CCS upon request. These plans are to be in line with PPN 06/21, refreshed annually and published on the Supplier’s website. </w:t>
            </w:r>
          </w:p>
          <w:p w:rsidR="00000000" w:rsidDel="00000000" w:rsidP="00000000" w:rsidRDefault="00000000" w:rsidRPr="00000000" w14:paraId="00000043">
            <w:pPr>
              <w:spacing w:after="240" w:before="240"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4">
            <w:pPr>
              <w:spacing w:after="240" w:before="240"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For total contract values £5m and above:</w:t>
            </w:r>
          </w:p>
          <w:p w:rsidR="00000000" w:rsidDel="00000000" w:rsidP="00000000" w:rsidRDefault="00000000" w:rsidRPr="00000000" w14:paraId="00000045">
            <w:pPr>
              <w:spacing w:after="240" w:before="24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 completed Carbon Reduction Plan for the Supplier provided to CCS whenever they select any DPS value band of £5m+. CCS may also request these at any time. These plans are to be in line with PPN 06/21, refreshed annually and published on the Supplier’s website.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keepNext w:val="1"/>
              <w:spacing w:after="240" w:before="240"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100% compliance, unless agreed otherwise with CCS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after="240" w:before="240" w:lineRule="auto"/>
              <w:ind w:left="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Suppliers Carbon Reduction Plan (in line with PPN 06/21) provided to CCS, refreshed annually from the date of creation and published on the Supplier’s website.</w:t>
            </w:r>
          </w:p>
        </w:tc>
      </w:tr>
      <w:tr>
        <w:trPr>
          <w:cantSplit w:val="0"/>
          <w:trHeight w:val="78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240" w:before="240"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6. Supplier Insurances, Certification and Accreditation</w:t>
            </w:r>
          </w:p>
          <w:p w:rsidR="00000000" w:rsidDel="00000000" w:rsidP="00000000" w:rsidRDefault="00000000" w:rsidRPr="00000000" w14:paraId="00000049">
            <w:pPr>
              <w:spacing w:after="240" w:before="240" w:lineRule="auto"/>
              <w:ind w:left="36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All information required for CCS Supplier Assurance to be provided within 10 days of renewal.</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keepNext w:val="1"/>
              <w:spacing w:after="240" w:before="240"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100% compliance, unless agreed otherwise with CCS</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after="240" w:before="240" w:lineRule="auto"/>
              <w:ind w:left="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Confirmation of receipt and time of receipt by the Authority (as evidenced within the Authority’s (CSC) Customer Service Centre systems.</w:t>
            </w:r>
          </w:p>
        </w:tc>
      </w:tr>
      <w:tr>
        <w:trPr>
          <w:cantSplit w:val="0"/>
          <w:trHeight w:val="78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after="240" w:before="240"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7. Supplier to make payments to all sub-contracted suppliers in line with the agreed payment terms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keepNext w:val="1"/>
              <w:spacing w:after="240" w:before="240"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100% compliance, unless agreed otherwise with CCS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after="240" w:before="240" w:lineRule="auto"/>
              <w:ind w:left="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Evidence provided when requested by the Authority</w:t>
            </w:r>
          </w:p>
        </w:tc>
      </w:tr>
      <w:tr>
        <w:trPr>
          <w:cantSplit w:val="0"/>
          <w:trHeight w:val="78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after="240" w:before="240"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8. The Supplier will respond to all Contracting Authority market engagement activities i.e Expressions of Interest requests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keepNext w:val="1"/>
              <w:spacing w:after="240" w:before="240"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100% compliance, unless agreed otherwise with CCS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after="240" w:before="240" w:lineRule="auto"/>
              <w:ind w:left="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Evidence provided by supplier response to market engagement activity </w:t>
            </w:r>
          </w:p>
        </w:tc>
      </w:tr>
      <w:tr>
        <w:trPr>
          <w:cantSplit w:val="0"/>
          <w:trHeight w:val="78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after="240" w:before="240"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9. The Supplier will provide the Contracting Authority and CCS with rationale behind any decision to make no-bid at Call off level. This will include feedback for the Contracting Authority to consider around their approach to service delivery and Invitation to Tender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keepNext w:val="1"/>
              <w:spacing w:after="240" w:before="240"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100% compliance, unless agreed otherwise with CCS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after="240" w:before="24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Evidence provided by supplier response and feedback in relation to call-off activity</w:t>
            </w:r>
          </w:p>
        </w:tc>
      </w:tr>
      <w:tr>
        <w:trPr>
          <w:cantSplit w:val="0"/>
          <w:trHeight w:val="78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after="240" w:before="240"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10. The Supplier will provide CCS with case study examples for all appropriate call-off contracts delivered, or other marketing collateral i.e. to support new business development and/or sharing of industry best practice.</w:t>
            </w:r>
          </w:p>
          <w:p w:rsidR="00000000" w:rsidDel="00000000" w:rsidP="00000000" w:rsidRDefault="00000000" w:rsidRPr="00000000" w14:paraId="00000056">
            <w:pPr>
              <w:spacing w:after="240" w:before="24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keepNext w:val="1"/>
              <w:spacing w:after="240" w:before="240" w:line="276" w:lineRule="auto"/>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Where appropriate with Contracting Authority approval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240" w:before="24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Confirmation by the Authority of the receipt of information required.</w:t>
            </w:r>
          </w:p>
        </w:tc>
      </w:tr>
    </w:tbl>
    <w:p w:rsidR="00000000" w:rsidDel="00000000" w:rsidP="00000000" w:rsidRDefault="00000000" w:rsidRPr="00000000" w14:paraId="00000059">
      <w:pPr>
        <w:pageBreakBefore w:val="0"/>
        <w:tabs>
          <w:tab w:val="left" w:pos="1134"/>
        </w:tabs>
        <w:spacing w:after="12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 the PIs and establish processes to monitor its performance against them and the Supplier’s achievement of PIs shall be reviewed during the Supplier Review Meetings. </w:t>
      </w:r>
    </w:p>
    <w:p w:rsidR="00000000" w:rsidDel="00000000" w:rsidP="00000000" w:rsidRDefault="00000000" w:rsidRPr="00000000" w14:paraId="0000005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reserves the right to adjust, introduce new, or remove PIs throughout the DPS Contract Period, however any significant changes to PIs shall be agreed between CCS and the Supplier in accordance with the Variation Procedure.</w:t>
      </w:r>
    </w:p>
    <w:p w:rsidR="00000000" w:rsidDel="00000000" w:rsidP="00000000" w:rsidRDefault="00000000" w:rsidRPr="00000000" w14:paraId="000000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reserves the right to use and publish the performance of the Supplier against the PIs without restriction.</w:t>
      </w:r>
    </w:p>
    <w:p w:rsidR="00000000" w:rsidDel="00000000" w:rsidP="00000000" w:rsidRDefault="00000000" w:rsidRPr="00000000" w14:paraId="0000005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Training sessions may be provided by CCS or other government and third sector bodies in relation to the successful achievement of the PI’s, DPS management or wider Contract performance. Suppliers agree, where reasonably requested, to attend any training sessions that will assist in these areas. </w:t>
      </w:r>
    </w:p>
    <w:p w:rsidR="00000000" w:rsidDel="00000000" w:rsidP="00000000" w:rsidRDefault="00000000" w:rsidRPr="00000000" w14:paraId="0000005E">
      <w:pPr>
        <w:keepNext w:val="0"/>
        <w:keepLines w:val="1"/>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the Supplier must do to measure their performance</w:t>
      </w:r>
    </w:p>
    <w:p w:rsidR="00000000" w:rsidDel="00000000" w:rsidP="00000000" w:rsidRDefault="00000000" w:rsidRPr="00000000" w14:paraId="0000005F">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cooperate in good faith with CCS to develop efficiency tracking performance measures for this Contract if required to do so by CCS.. This shall include the following (but this list is not exhaustive and may be developed during the DPS Contract Period): </w:t>
      </w:r>
    </w:p>
    <w:p w:rsidR="00000000" w:rsidDel="00000000" w:rsidP="00000000" w:rsidRDefault="00000000" w:rsidRPr="00000000" w14:paraId="0000006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tracking reductions in product volumes and product costs, in order to demonstrate that Buyers are consuming less and buying more smartly; </w:t>
      </w:r>
    </w:p>
    <w:p w:rsidR="00000000" w:rsidDel="00000000" w:rsidP="00000000" w:rsidRDefault="00000000" w:rsidRPr="00000000" w14:paraId="0000006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developing additional PIs to ensure that this Contract supports the emerging target operating model across central government (particularly in line with centralised sourcing and category management, procurement delivery centres and payment processing systems and shared service centres).</w:t>
      </w:r>
    </w:p>
    <w:p w:rsidR="00000000" w:rsidDel="00000000" w:rsidP="00000000" w:rsidRDefault="00000000" w:rsidRPr="00000000" w14:paraId="0000006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metrics that are to be implemented to measure efficiency shall be developed and agreed between CCS and the Supplier. Such metrics shall be incorporated into the list of PIs set out in this Schedule.</w:t>
      </w:r>
    </w:p>
    <w:p w:rsidR="00000000" w:rsidDel="00000000" w:rsidP="00000000" w:rsidRDefault="00000000" w:rsidRPr="00000000" w14:paraId="0000006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ongoing progress and development of the efficiency tracking performance measures shall be reported through DPS management activities as outlined in this Schedule.</w:t>
      </w:r>
    </w:p>
    <w:p w:rsidR="00000000" w:rsidDel="00000000" w:rsidP="00000000" w:rsidRDefault="00000000" w:rsidRPr="00000000" w14:paraId="0000006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to do if CCS and the Supplier can’t agree about the performance </w:t>
      </w:r>
    </w:p>
    <w:p w:rsidR="00000000" w:rsidDel="00000000" w:rsidP="00000000" w:rsidRDefault="00000000" w:rsidRPr="00000000" w14:paraId="0000006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CCS and the Supplier are unable to agree the performance score for any PI during a Supplier Review Meeting, the disputed score shall be recorded and the matter shall be referred to CCS Authorised Representative and the Supplier Authorised Representative in order to determine the best course of action to resolve the matter (which may involve organising an ad-hoc meeting to discuss the performance issue specifically).</w:t>
      </w:r>
    </w:p>
    <w:p w:rsidR="00000000" w:rsidDel="00000000" w:rsidP="00000000" w:rsidRDefault="00000000" w:rsidRPr="00000000" w14:paraId="0000006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cases where CCS Authorised Representative and the Supplier Authorised Representative fail to reach a solution within a reasonable period of time, the matter shall be referred to the Dispute Resolution Procedure.</w:t>
      </w:r>
    </w:p>
    <w:p w:rsidR="00000000" w:rsidDel="00000000" w:rsidP="00000000" w:rsidRDefault="00000000" w:rsidRPr="00000000" w14:paraId="0000006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Marketing</w:t>
      </w:r>
    </w:p>
    <w:p w:rsidR="00000000" w:rsidDel="00000000" w:rsidP="00000000" w:rsidRDefault="00000000" w:rsidRPr="00000000" w14:paraId="0000006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 person is appointed as Supplier Marketing Contact who shall be responsible for the marketing obligations of the Supplier in relation to this Contract. </w:t>
      </w:r>
    </w:p>
    <w:p w:rsidR="00000000" w:rsidDel="00000000" w:rsidP="00000000" w:rsidRDefault="00000000" w:rsidRPr="00000000" w14:paraId="0000006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the Supplier must contribute to CCS publications</w:t>
      </w:r>
    </w:p>
    <w:p w:rsidR="00000000" w:rsidDel="00000000" w:rsidP="00000000" w:rsidRDefault="00000000" w:rsidRPr="00000000" w14:paraId="0000006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supply current information relating to the Goods and/or Services it offers for inclusion in CCS marketing materials when required by CCS from time to time.</w:t>
      </w:r>
    </w:p>
    <w:p w:rsidR="00000000" w:rsidDel="00000000" w:rsidP="00000000" w:rsidRDefault="00000000" w:rsidRPr="00000000" w14:paraId="0000006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information shall be provided in such form and at such time as CCS may request.</w:t>
      </w:r>
    </w:p>
    <w:p w:rsidR="00000000" w:rsidDel="00000000" w:rsidP="00000000" w:rsidRDefault="00000000" w:rsidRPr="00000000" w14:paraId="0000006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Failure to comply with the provisions of Paragraphs 7.2 and 7.3 may result in the Supplier's exclusion from the use of such marketing materials.</w:t>
      </w:r>
    </w:p>
    <w:p w:rsidR="00000000" w:rsidDel="00000000" w:rsidP="00000000" w:rsidRDefault="00000000" w:rsidRPr="00000000" w14:paraId="0000006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Suppliers can say in its own publications</w:t>
      </w:r>
    </w:p>
    <w:p w:rsidR="00000000" w:rsidDel="00000000" w:rsidP="00000000" w:rsidRDefault="00000000" w:rsidRPr="00000000" w14:paraId="0000006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marketing materials produced by the Supplier in relation to this DPS shall at all times comply with the CCS branding guidance at</w:t>
        <w:tab/>
        <w:t xml:space="preserve">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https://www.gov.uk/government/publications/crown-commercial-service-supplier-logo-and-brand-guidelines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periodically update and revise its marketing materials to ensure ongoing compliance.</w:t>
      </w:r>
    </w:p>
    <w:p w:rsidR="00000000" w:rsidDel="00000000" w:rsidP="00000000" w:rsidRDefault="00000000" w:rsidRPr="00000000" w14:paraId="0000007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regularly review the content of any information which appears on its website and which relates to each Contract and ensure that such information is up to date at all times.</w:t>
      </w:r>
    </w:p>
    <w:p w:rsidR="00000000" w:rsidDel="00000000" w:rsidP="00000000" w:rsidRDefault="00000000" w:rsidRPr="00000000" w14:paraId="0000007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obtain all appropriate approvals prior to publishing any content in relation to a Contract with that Party using any media, including on any electronic medium, and the Supplier will ensure that such content is regularly maintained and updated.  In the event that the Supplier fails to maintain or update the content, CCS or the relevant Buyer may give the Supplier notice to rectify the failure and if the failure is not rectified to its reasonable satisfaction within one (1) Month of receipt of such notice, shall have the right to remove such content itself or require that the Supplier immediately arranges the removal of such content.</w:t>
      </w:r>
    </w:p>
    <w:p w:rsidR="00000000" w:rsidDel="00000000" w:rsidP="00000000" w:rsidRDefault="00000000" w:rsidRPr="00000000" w14:paraId="0000007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Where CCS might oversee parts of the Order Contracts</w:t>
      </w:r>
    </w:p>
    <w:p w:rsidR="00000000" w:rsidDel="00000000" w:rsidP="00000000" w:rsidRDefault="00000000" w:rsidRPr="00000000" w14:paraId="00000073">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shall have oversight of certain processes which are operated under Order Contracts. Such oversight shall be provided in relation to the operation of the following Schedules in each Order Contract:</w:t>
      </w:r>
    </w:p>
    <w:p w:rsidR="00000000" w:rsidDel="00000000" w:rsidP="00000000" w:rsidRDefault="00000000" w:rsidRPr="00000000" w14:paraId="0000007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1" w:right="0" w:hanging="720"/>
        <w:jc w:val="both"/>
        <w:rPr>
          <w:rFonts w:ascii="Arial" w:cs="Arial" w:eastAsia="Arial" w:hAnsi="Arial"/>
          <w:b w:val="0"/>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Order Schedule 3 (Continuous Improvement);</w:t>
      </w:r>
    </w:p>
    <w:p w:rsidR="00000000" w:rsidDel="00000000" w:rsidP="00000000" w:rsidRDefault="00000000" w:rsidRPr="00000000" w14:paraId="0000007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1" w:right="0" w:hanging="720"/>
        <w:jc w:val="left"/>
        <w:rPr>
          <w:rFonts w:ascii="Arial" w:cs="Arial" w:eastAsia="Arial" w:hAnsi="Arial"/>
          <w:b w:val="0"/>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Order Schedule 8 (Business Continuity and Disaster Recovery);</w:t>
      </w:r>
    </w:p>
    <w:p w:rsidR="00000000" w:rsidDel="00000000" w:rsidP="00000000" w:rsidRDefault="00000000" w:rsidRPr="00000000" w14:paraId="0000007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Order Schedule 9 (Security); and</w:t>
      </w:r>
    </w:p>
    <w:p w:rsidR="00000000" w:rsidDel="00000000" w:rsidP="00000000" w:rsidRDefault="00000000" w:rsidRPr="00000000" w14:paraId="0000007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Order Schedule 16 (Benchmarking).</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216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"Supported Schedules"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the Supplier must support CCS involvement</w:t>
      </w:r>
    </w:p>
    <w:p w:rsidR="00000000" w:rsidDel="00000000" w:rsidP="00000000" w:rsidRDefault="00000000" w:rsidRPr="00000000" w14:paraId="0000007A">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co-operate as reasonably required by CCS in relation to the Supported Schedules including:</w:t>
      </w:r>
    </w:p>
    <w:p w:rsidR="00000000" w:rsidDel="00000000" w:rsidP="00000000" w:rsidRDefault="00000000" w:rsidRPr="00000000" w14:paraId="0000007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 of information;</w:t>
      </w:r>
    </w:p>
    <w:p w:rsidR="00000000" w:rsidDel="00000000" w:rsidP="00000000" w:rsidRDefault="00000000" w:rsidRPr="00000000" w14:paraId="0000007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allowing CCS to act as agent for the Buyers under the Supported Schedules for such matters as CCS may notify to the Supplier from time to time; and</w:t>
      </w:r>
    </w:p>
    <w:p w:rsidR="00000000" w:rsidDel="00000000" w:rsidP="00000000" w:rsidRDefault="00000000" w:rsidRPr="00000000" w14:paraId="0000007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other matters as CCS may notify to the Supplier from time to time.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Where CCS might manage the process for Buyers collectively </w:t>
      </w:r>
    </w:p>
    <w:p w:rsidR="00000000" w:rsidDel="00000000" w:rsidP="00000000" w:rsidRDefault="00000000" w:rsidRPr="00000000" w14:paraId="0000007F">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general oversight as referred to above the following specific oversight shall apply to the individual Supported Schedules:</w:t>
      </w:r>
    </w:p>
    <w:p w:rsidR="00000000" w:rsidDel="00000000" w:rsidP="00000000" w:rsidRDefault="00000000" w:rsidRPr="00000000" w14:paraId="0000008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Schedule 3 (Continuous Improvement) - the Supplier shall:</w:t>
      </w:r>
    </w:p>
    <w:p w:rsidR="00000000" w:rsidDel="00000000" w:rsidP="00000000" w:rsidRDefault="00000000" w:rsidRPr="00000000" w14:paraId="0000008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adopt a policy of continuous improvement in relation to the Deliverables;</w:t>
      </w:r>
    </w:p>
    <w:p w:rsidR="00000000" w:rsidDel="00000000" w:rsidP="00000000" w:rsidRDefault="00000000" w:rsidRPr="00000000" w14:paraId="0000008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maintain and update a continuous improvement plan for improving the provision of the Deliverables and/or reducing the Charges and, where requested by CCS, incorporate any improvement identified in accordance with the Variation Procedure.</w:t>
      </w:r>
    </w:p>
    <w:p w:rsidR="00000000" w:rsidDel="00000000" w:rsidP="00000000" w:rsidRDefault="00000000" w:rsidRPr="00000000" w14:paraId="0000008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Schedule 8 (Business Continuity and Disaster Recovery) - the Supplier shall:</w:t>
      </w:r>
    </w:p>
    <w:p w:rsidR="00000000" w:rsidDel="00000000" w:rsidP="00000000" w:rsidRDefault="00000000" w:rsidRPr="00000000" w14:paraId="0000008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and hold a template BCDR plan that can be used by each Buyer and shall make it available to CCS so that it can be published to potential Buyers; and</w:t>
      </w:r>
    </w:p>
    <w:p w:rsidR="00000000" w:rsidDel="00000000" w:rsidP="00000000" w:rsidRDefault="00000000" w:rsidRPr="00000000" w14:paraId="00000085">
      <w:pPr>
        <w:pageBreakBefore w:val="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847"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CCS in the event of the invocation or potential invocation of any BCDR plan and the Supplier shall provide such support as CCS may reasonably require to coordinate the application of BCDR plans across all Order Contracts.</w:t>
      </w:r>
    </w:p>
    <w:p w:rsidR="00000000" w:rsidDel="00000000" w:rsidP="00000000" w:rsidRDefault="00000000" w:rsidRPr="00000000" w14:paraId="0000008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Schedule 9 (Security) - the Supplier shall:</w:t>
      </w:r>
    </w:p>
    <w:p w:rsidR="00000000" w:rsidDel="00000000" w:rsidP="00000000" w:rsidRDefault="00000000" w:rsidRPr="00000000" w14:paraId="0000008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552"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and hold a template Security Plan that can be used by each Buyer and shall make it available to CCS so that it can be published to potential Buyers; and</w:t>
      </w:r>
    </w:p>
    <w:p w:rsidR="00000000" w:rsidDel="00000000" w:rsidP="00000000" w:rsidRDefault="00000000" w:rsidRPr="00000000" w14:paraId="0000008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552" w:right="0" w:hanging="56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CCS in the event of breach of any Security Plan and the Supplier shall provide such support as CCS may reasonably require to coordinate the application of Security Plans across all Order Contracts.</w:t>
      </w:r>
    </w:p>
    <w:p w:rsidR="00000000" w:rsidDel="00000000" w:rsidP="00000000" w:rsidRDefault="00000000" w:rsidRPr="00000000" w14:paraId="0000008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Schedule 16 (Benchmarking) - the Supplier:</w:t>
      </w:r>
    </w:p>
    <w:p w:rsidR="00000000" w:rsidDel="00000000" w:rsidP="00000000" w:rsidRDefault="00000000" w:rsidRPr="00000000" w14:paraId="0000008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98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notify CCS in the event that any benchmarker is appoint in respect of any Order Contract and the Supplier recognises that CCS may want to co-ordinate how benchmarking is conducted across multiple Order Contracts;</w:t>
      </w:r>
    </w:p>
    <w:p w:rsidR="00000000" w:rsidDel="00000000" w:rsidP="00000000" w:rsidRDefault="00000000" w:rsidRPr="00000000" w14:paraId="0000008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552" w:right="0" w:hanging="56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where CCS is appointed as agent by Buyers in respect of benchmarking, co-operate with CCS in order to operate the benchmarking as efficiently as possible;</w:t>
      </w:r>
    </w:p>
    <w:p w:rsidR="00000000" w:rsidDel="00000000" w:rsidP="00000000" w:rsidRDefault="00000000" w:rsidRPr="00000000" w14:paraId="0000008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552" w:right="0" w:hanging="56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agrees that notwithstanding the remainder of Clause 15 (Confidentiality) in the Core Terms, CCS shall be entitled to publish the results of any benchmarking of the DPS Prices to Other Contracting Authorities (subject to the other party entering into reasonable confidentiality undertakings).</w:t>
      </w: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bfbfb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v3.0</w:t>
      <w:tab/>
    </w: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RM6241</w:t>
      <w:tab/>
      <w:t xml:space="preserve">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w:t>
    </w: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spacing w:after="0" w:line="240" w:lineRule="auto"/>
      <w:jc w:val="both"/>
      <w:rPr/>
    </w:pPr>
    <w:r w:rsidDel="00000000" w:rsidR="00000000" w:rsidRPr="00000000">
      <w:rPr>
        <w:rFonts w:ascii="Arial" w:cs="Arial" w:eastAsia="Arial" w:hAnsi="Arial"/>
        <w:sz w:val="20"/>
        <w:szCs w:val="20"/>
        <w:rtl w:val="0"/>
      </w:rPr>
      <w:t xml:space="preserve">Model Version: v1.1</w:t>
      <w:tab/>
      <w:tab/>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Schedule 4 (Framework Management)</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DPS Schedule 4 (DPS Management)</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720"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tabs>
        <w:tab w:val="left" w:pos="-5585"/>
      </w:tabs>
      <w:spacing w:after="120" w:line="240" w:lineRule="auto"/>
      <w:ind w:left="2665" w:hanging="964"/>
      <w:jc w:val="both"/>
    </w:pPr>
    <w:rPr>
      <w:rFonts w:ascii="Arial" w:cs="Arial" w:eastAsia="Arial" w:hAnsi="Arial"/>
    </w:rPr>
  </w:style>
  <w:style w:type="paragraph" w:styleId="Heading6">
    <w:name w:val="heading 6"/>
    <w:basedOn w:val="Normal"/>
    <w:next w:val="Normal"/>
    <w:pPr>
      <w:tabs>
        <w:tab w:val="left" w:pos="-8987"/>
        <w:tab w:val="left" w:pos="-8420"/>
      </w:tabs>
      <w:spacing w:after="120" w:line="240" w:lineRule="auto"/>
      <w:ind w:left="3799" w:hanging="1133.9999999999998"/>
      <w:jc w:val="both"/>
    </w:pPr>
    <w:rPr>
      <w:rFonts w:ascii="Arial" w:cs="Arial" w:eastAsia="Arial" w:hAnsi="Arial"/>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pageBreakBefore w:val="0"/>
      <w:tabs>
        <w:tab w:val="left" w:pos="-5585"/>
      </w:tabs>
      <w:spacing w:after="120" w:line="240" w:lineRule="auto"/>
      <w:ind w:left="2665" w:hanging="964"/>
      <w:jc w:val="both"/>
    </w:pPr>
    <w:rPr>
      <w:rFonts w:ascii="Arial" w:cs="Arial" w:eastAsia="Arial" w:hAnsi="Arial"/>
    </w:rPr>
  </w:style>
  <w:style w:type="paragraph" w:styleId="Heading6">
    <w:name w:val="heading 6"/>
    <w:basedOn w:val="Normal"/>
    <w:next w:val="Normal"/>
    <w:pPr>
      <w:pageBreakBefore w:val="0"/>
      <w:tabs>
        <w:tab w:val="left" w:pos="-8987"/>
        <w:tab w:val="left" w:pos="-8420"/>
      </w:tabs>
      <w:spacing w:after="120" w:line="240" w:lineRule="auto"/>
      <w:ind w:left="3799" w:hanging="1133.9999999999998"/>
      <w:jc w:val="both"/>
    </w:pPr>
    <w:rPr>
      <w:rFonts w:ascii="Arial" w:cs="Arial" w:eastAsia="Arial" w:hAnsi="Arial"/>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semiHidden w:val="1"/>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5">
    <w:name w:val="heading 5"/>
    <w:basedOn w:val="Normal"/>
    <w:link w:val="Heading5Char"/>
    <w:pPr>
      <w:tabs>
        <w:tab w:val="left" w:pos="-5585"/>
      </w:tabs>
      <w:overflowPunct w:val="0"/>
      <w:autoSpaceDE w:val="0"/>
      <w:autoSpaceDN w:val="0"/>
      <w:spacing w:after="120" w:line="240" w:lineRule="auto"/>
      <w:ind w:left="2665" w:hanging="964"/>
      <w:jc w:val="both"/>
      <w:textAlignment w:val="baseline"/>
      <w:outlineLvl w:val="4"/>
    </w:pPr>
    <w:rPr>
      <w:rFonts w:ascii="Arial" w:cs="Times New Roman" w:eastAsia="Times New Roman" w:hAnsi="Arial"/>
    </w:rPr>
  </w:style>
  <w:style w:type="paragraph" w:styleId="Heading6">
    <w:name w:val="heading 6"/>
    <w:basedOn w:val="Heading5"/>
    <w:link w:val="Heading6Char"/>
    <w:pPr>
      <w:tabs>
        <w:tab w:val="clear" w:pos="-5585"/>
        <w:tab w:val="left" w:pos="-8987"/>
        <w:tab w:val="left" w:pos="-8420"/>
      </w:tabs>
      <w:ind w:left="3799" w:hanging="1134"/>
      <w:outlineLvl w:val="5"/>
    </w:pPr>
  </w:style>
  <w:style w:type="paragraph" w:styleId="Heading7">
    <w:name w:val="heading 7"/>
    <w:basedOn w:val="Heading6"/>
    <w:link w:val="Heading7Char"/>
    <w:pPr>
      <w:tabs>
        <w:tab w:val="clear" w:pos="-8987"/>
        <w:tab w:val="clear" w:pos="-8420"/>
        <w:tab w:val="left" w:pos="-10688"/>
        <w:tab w:val="left" w:pos="-9554"/>
      </w:tabs>
      <w:ind w:left="4366" w:hanging="1304"/>
      <w:outlineLvl w:val="6"/>
    </w:pPr>
  </w:style>
  <w:style w:type="paragraph" w:styleId="Heading8">
    <w:name w:val="heading 8"/>
    <w:basedOn w:val="Normal"/>
    <w:next w:val="Normal"/>
    <w:link w:val="Heading8Char"/>
    <w:unhideWhenUsed w:val="1"/>
    <w:qFormat w:val="1"/>
    <w:pPr>
      <w:keepNext w:val="1"/>
      <w:keepLines w:val="1"/>
      <w:spacing w:after="0" w:before="200"/>
      <w:outlineLvl w:val="7"/>
    </w:pPr>
    <w:rPr>
      <w:rFonts w:asciiTheme="majorHAnsi" w:cstheme="majorBidi" w:eastAsiaTheme="majorEastAsia" w:hAnsiTheme="majorHAnsi"/>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2"/>
      </w:numPr>
      <w:tabs>
        <w:tab w:val="left" w:pos="142"/>
      </w:tabs>
      <w:adjustRightInd w:val="0"/>
      <w:spacing w:after="240" w:before="120" w:line="240" w:lineRule="auto"/>
      <w:ind w:left="426" w:hanging="426"/>
      <w:jc w:val="both"/>
      <w:outlineLvl w:val="1"/>
    </w:pPr>
    <w:rPr>
      <w:rFonts w:ascii="Calibri" w:cs="Arial" w:eastAsia="STZhongsong" w:hAnsi="Calibri"/>
      <w:b w:val="1"/>
      <w:caps w:val="1"/>
      <w:lang w:eastAsia="zh-CN"/>
    </w:rPr>
  </w:style>
  <w:style w:type="paragraph" w:styleId="GPSL3numberedclause" w:customStyle="1">
    <w:name w:val="GPS L3 numbered clause"/>
    <w:basedOn w:val="Normal"/>
    <w:link w:val="GPSL3numberedclauseChar"/>
    <w:qFormat w:val="1"/>
    <w:pPr>
      <w:numPr>
        <w:ilvl w:val="2"/>
        <w:numId w:val="2"/>
      </w:numPr>
      <w:tabs>
        <w:tab w:val="left" w:pos="1985"/>
      </w:tabs>
      <w:adjustRightInd w:val="0"/>
      <w:spacing w:after="120" w:before="120" w:line="240" w:lineRule="auto"/>
      <w:ind w:left="1656"/>
      <w:jc w:val="both"/>
    </w:pPr>
    <w:rPr>
      <w:rFonts w:ascii="Calibri" w:cs="Arial" w:eastAsia="Times New Roman" w:hAnsi="Calibri"/>
      <w:lang w:eastAsia="zh-CN"/>
    </w:rPr>
  </w:style>
  <w:style w:type="paragraph" w:styleId="GPSL4numberedclause" w:customStyle="1">
    <w:name w:val="GPS L4 numbered clause"/>
    <w:basedOn w:val="GPSL3numberedclause"/>
    <w:qFormat w:val="1"/>
    <w:rsid w:val="00F03639"/>
    <w:pPr>
      <w:numPr>
        <w:ilvl w:val="3"/>
      </w:numPr>
      <w:tabs>
        <w:tab w:val="clear" w:pos="1985"/>
      </w:tabs>
      <w:ind w:left="2592" w:hanging="936"/>
    </w:p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link w:val="GPSL2NumberedBoldHeadingChar"/>
    <w:qFormat w:val="1"/>
    <w:pPr>
      <w:numPr>
        <w:ilvl w:val="1"/>
        <w:numId w:val="2"/>
      </w:numPr>
      <w:tabs>
        <w:tab w:val="left" w:pos="1134"/>
      </w:tabs>
      <w:adjustRightInd w:val="0"/>
      <w:spacing w:after="120" w:before="120" w:line="240" w:lineRule="auto"/>
      <w:ind w:left="936" w:hanging="576"/>
      <w:jc w:val="both"/>
    </w:pPr>
    <w:rPr>
      <w:rFonts w:ascii="Calibri" w:cs="Arial" w:eastAsia="Times New Roman" w:hAnsi="Calibri"/>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Definition" w:customStyle="1">
    <w:name w:val="GPs Definition"/>
    <w:basedOn w:val="Normal"/>
    <w:qFormat w:val="1"/>
    <w:pPr>
      <w:numPr>
        <w:numId w:val="1"/>
      </w:numPr>
      <w:tabs>
        <w:tab w:val="left" w:pos="175"/>
      </w:tabs>
      <w:overflowPunct w:val="0"/>
      <w:autoSpaceDE w:val="0"/>
      <w:autoSpaceDN w:val="0"/>
      <w:adjustRightInd w:val="0"/>
      <w:spacing w:after="120" w:line="240" w:lineRule="auto"/>
      <w:jc w:val="both"/>
      <w:textAlignment w:val="baseline"/>
    </w:pPr>
    <w:rPr>
      <w:rFonts w:ascii="Calibri" w:cs="Arial" w:eastAsia="Times New Roman" w:hAnsi="Calibri"/>
    </w:rPr>
  </w:style>
  <w:style w:type="paragraph" w:styleId="GPSDefinitionL2" w:customStyle="1">
    <w:name w:val="GPS Definition L2"/>
    <w:basedOn w:val="GPsDefinition"/>
    <w:qFormat w:val="1"/>
    <w:pPr>
      <w:numPr>
        <w:ilvl w:val="1"/>
      </w:numPr>
      <w:ind w:hanging="544"/>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Calibri" w:cs="Arial" w:eastAsia="Times New Roman" w:hAnsi="Calibri"/>
      <w:b w:val="1"/>
    </w:rPr>
  </w:style>
  <w:style w:type="paragraph" w:styleId="GPSL1SCHEDULEHeading" w:customStyle="1">
    <w:name w:val="GPS L1 SCHEDULE Heading"/>
    <w:basedOn w:val="GPSL1CLAUSEHEADING"/>
    <w:link w:val="GPSL1SCHEDULEHeadingChar"/>
    <w:qFormat w:val="1"/>
    <w:rsid w:val="005C6957"/>
    <w:pPr>
      <w:ind w:left="360" w:hanging="360"/>
      <w:outlineLvl w:val="9"/>
    </w:pPr>
    <w:rPr>
      <w:caps w:val="0"/>
    </w:rPr>
  </w:style>
  <w:style w:type="paragraph" w:styleId="GPSL3Guidance" w:customStyle="1">
    <w:name w:val="GPS L3 Guidance"/>
    <w:basedOn w:val="GPSL3numberedclause"/>
    <w:link w:val="GPSL3GuidanceChar"/>
    <w:qFormat w:val="1"/>
    <w:pPr>
      <w:numPr>
        <w:ilvl w:val="0"/>
        <w:numId w:val="0"/>
      </w:numPr>
      <w:ind w:left="1985"/>
    </w:pPr>
    <w:rPr>
      <w:b w:val="1"/>
      <w:i w:val="1"/>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Calibri" w:cs="Arial" w:eastAsia="Times New Roman" w:hAnsi="Calibri"/>
      <w:color w:val="ffffff"/>
      <w:sz w:val="16"/>
      <w:szCs w:val="16"/>
    </w:rPr>
  </w:style>
  <w:style w:type="paragraph" w:styleId="GPSL2Numbered" w:customStyle="1">
    <w:name w:val="GPS L2 Numbered"/>
    <w:basedOn w:val="GPSL2NumberedBoldHeading"/>
    <w:link w:val="GPSL2NumberedChar"/>
    <w:qFormat w:val="1"/>
    <w:pPr>
      <w:tabs>
        <w:tab w:val="clear" w:pos="1134"/>
      </w:tabs>
      <w:ind w:left="720"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sid w:val="005C6957"/>
    <w:rPr>
      <w:rFonts w:ascii="Calibri" w:cs="Arial" w:eastAsia="STZhongsong" w:hAnsi="Calibri"/>
      <w:b w:val="1"/>
      <w:lang w:eastAsia="zh-CN"/>
    </w:rPr>
  </w:style>
  <w:style w:type="character" w:styleId="GPSL3GuidanceChar" w:customStyle="1">
    <w:name w:val="GPS L3 Guidance Char"/>
    <w:link w:val="GPSL3Guidance"/>
    <w:rPr>
      <w:rFonts w:ascii="Calibri" w:cs="Arial" w:eastAsia="Times New Roman" w:hAnsi="Calibri"/>
      <w:b w:val="1"/>
      <w:i w:val="1"/>
      <w:lang w:eastAsia="zh-CN"/>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Heading8Char" w:customStyle="1">
    <w:name w:val="Heading 8 Char"/>
    <w:basedOn w:val="DefaultParagraphFont"/>
    <w:link w:val="Heading8"/>
    <w:rPr>
      <w:rFonts w:asciiTheme="majorHAnsi" w:cstheme="majorBidi" w:eastAsiaTheme="majorEastAsia" w:hAnsiTheme="majorHAnsi"/>
      <w:color w:val="404040" w:themeColor="text1" w:themeTint="0000BF"/>
      <w:sz w:val="20"/>
      <w:szCs w:val="20"/>
    </w:rPr>
  </w:style>
  <w:style w:type="character" w:styleId="Heading5Char" w:customStyle="1">
    <w:name w:val="Heading 5 Char"/>
    <w:basedOn w:val="DefaultParagraphFont"/>
    <w:link w:val="Heading5"/>
    <w:rPr>
      <w:rFonts w:ascii="Arial" w:cs="Times New Roman" w:eastAsia="Times New Roman" w:hAnsi="Arial"/>
    </w:rPr>
  </w:style>
  <w:style w:type="character" w:styleId="Heading6Char" w:customStyle="1">
    <w:name w:val="Heading 6 Char"/>
    <w:basedOn w:val="DefaultParagraphFont"/>
    <w:link w:val="Heading6"/>
    <w:rPr>
      <w:rFonts w:ascii="Arial" w:cs="Times New Roman" w:eastAsia="Times New Roman" w:hAnsi="Arial"/>
    </w:rPr>
  </w:style>
  <w:style w:type="character" w:styleId="Heading7Char" w:customStyle="1">
    <w:name w:val="Heading 7 Char"/>
    <w:basedOn w:val="DefaultParagraphFont"/>
    <w:link w:val="Heading7"/>
    <w:rPr>
      <w:rFonts w:ascii="Arial" w:cs="Times New Roman" w:eastAsia="Times New Roman" w:hAnsi="Arial"/>
    </w:rPr>
  </w:style>
  <w:style w:type="numbering" w:styleId="WWOutlineListStyle8" w:customStyle="1">
    <w:name w:val="WW_OutlineListStyle_8"/>
    <w:basedOn w:val="NoList"/>
    <w:pPr>
      <w:numPr>
        <w:numId w:val="4"/>
      </w:numPr>
    </w:pPr>
  </w:style>
  <w:style w:type="character" w:styleId="Hyperlink">
    <w:name w:val="Hyperlink"/>
    <w:basedOn w:val="DefaultParagraphFont"/>
    <w:uiPriority w:val="99"/>
    <w:unhideWhenUsed w:val="1"/>
    <w:rPr>
      <w:color w:val="0000ff" w:themeColor="hyperlink"/>
      <w:u w:val="single"/>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Revision">
    <w:name w:val="Revision"/>
    <w:hidden w:val="1"/>
    <w:uiPriority w:val="99"/>
    <w:semiHidden w:val="1"/>
    <w:pPr>
      <w:spacing w:after="0" w:line="240" w:lineRule="auto"/>
    </w:pPr>
  </w:style>
  <w:style w:type="paragraph" w:styleId="GPSL2numberedclause" w:customStyle="1">
    <w:name w:val="GPS L2 numbered clause"/>
    <w:basedOn w:val="Normal"/>
    <w:link w:val="GPSL2numberedclauseChar1"/>
    <w:qFormat w:val="1"/>
    <w:pPr>
      <w:tabs>
        <w:tab w:val="num" w:pos="720"/>
        <w:tab w:val="left" w:pos="1134"/>
      </w:tabs>
      <w:adjustRightInd w:val="0"/>
      <w:spacing w:after="120" w:before="120" w:line="240" w:lineRule="auto"/>
      <w:ind w:left="720" w:hanging="720"/>
      <w:jc w:val="both"/>
    </w:pPr>
    <w:rPr>
      <w:rFonts w:ascii="Calibri" w:cs="Arial" w:eastAsia="Times New Roman" w:hAnsi="Calibri"/>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365f91" w:themeColor="accent1" w:themeShade="0000BF"/>
      <w:sz w:val="28"/>
      <w:szCs w:val="28"/>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MarginText" w:customStyle="1">
    <w:name w:val="Margin Text"/>
    <w:basedOn w:val="Normal"/>
    <w:link w:val="MarginTextChar"/>
    <w:pPr>
      <w:keepNext w:val="1"/>
      <w:adjustRightInd w:val="0"/>
      <w:spacing w:after="120" w:before="240" w:line="240" w:lineRule="auto"/>
      <w:ind w:left="142"/>
      <w:jc w:val="both"/>
    </w:pPr>
    <w:rPr>
      <w:rFonts w:ascii="Calibri" w:cs="Times New Roman" w:eastAsia="STZhongsong" w:hAnsi="Calibri"/>
      <w:szCs w:val="18"/>
      <w:lang w:eastAsia="zh-CN"/>
    </w:rPr>
  </w:style>
  <w:style w:type="character" w:styleId="Heading2Char" w:customStyle="1">
    <w:name w:val="Heading 2 Char"/>
    <w:basedOn w:val="DefaultParagraphFont"/>
    <w:link w:val="Heading2"/>
    <w:uiPriority w:val="9"/>
    <w:semiHidden w:val="1"/>
    <w:rPr>
      <w:rFonts w:asciiTheme="majorHAnsi" w:cstheme="majorBidi" w:eastAsiaTheme="majorEastAsia" w:hAnsiTheme="majorHAnsi"/>
      <w:b w:val="1"/>
      <w:bCs w:val="1"/>
      <w:color w:val="4f81bd" w:themeColor="accent1"/>
      <w:sz w:val="26"/>
      <w:szCs w:val="26"/>
    </w:rPr>
  </w:style>
  <w:style w:type="paragraph" w:styleId="GPSL4Guidance" w:customStyle="1">
    <w:name w:val="GPS L4 Guidance"/>
    <w:basedOn w:val="GPSL3Guidance"/>
    <w:link w:val="GPSL4GuidanceChar"/>
    <w:qFormat w:val="1"/>
    <w:rsid w:val="00F03639"/>
  </w:style>
  <w:style w:type="character" w:styleId="GPSL4GuidanceChar" w:customStyle="1">
    <w:name w:val="GPS L4 Guidance Char"/>
    <w:link w:val="GPSL4Guidance"/>
    <w:locked w:val="1"/>
    <w:rsid w:val="00F03639"/>
    <w:rPr>
      <w:rFonts w:ascii="Calibri" w:cs="Arial" w:eastAsia="Times New Roman" w:hAnsi="Calibri"/>
      <w:b w:val="1"/>
      <w:i w:val="1"/>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crown-commercial-service-supplier-logo-and-brand-guidelines"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H1ONey8636h7rgtUgoXQrjW+GQ==">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2020-10-06T15:38:00Z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