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pacing w:after="12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Schedule 7 (Call-Off Award Procedure</w:t>
      </w:r>
      <w:bookmarkStart w:colFirst="0" w:colLast="0" w:name="bookmark=id.gjdgxs" w:id="0"/>
      <w:bookmarkEnd w:id="0"/>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after="12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1: Order Procedure</w:t>
      </w:r>
    </w:p>
    <w:p w:rsidR="00000000" w:rsidDel="00000000" w:rsidP="00000000" w:rsidRDefault="00000000" w:rsidRPr="00000000" w14:paraId="00000003">
      <w:pPr>
        <w:keepNext w:val="1"/>
        <w:widowControl w:val="1"/>
        <w:numPr>
          <w:ilvl w:val="0"/>
          <w:numId w:val="3"/>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How a Call-Off Contract is awarded</w:t>
      </w:r>
      <w:r w:rsidDel="00000000" w:rsidR="00000000" w:rsidRPr="00000000">
        <w:rPr>
          <w:rtl w:val="0"/>
        </w:rPr>
      </w:r>
    </w:p>
    <w:p w:rsidR="00000000" w:rsidDel="00000000" w:rsidP="00000000" w:rsidRDefault="00000000" w:rsidRPr="00000000" w14:paraId="00000004">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If a potential Buyer decides to source Deliverables through this Contract then it will award its Deliverables in accordance with the procedure in this Schedule and the requirements of the Regulations.</w:t>
      </w:r>
      <w:r w:rsidDel="00000000" w:rsidR="00000000" w:rsidRPr="00000000">
        <w:rPr>
          <w:rtl w:val="0"/>
        </w:rPr>
      </w:r>
    </w:p>
    <w:p w:rsidR="00000000" w:rsidDel="00000000" w:rsidP="00000000" w:rsidRDefault="00000000" w:rsidRPr="00000000" w14:paraId="00000005">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If the potential Buyer can determine that:</w:t>
      </w:r>
      <w:r w:rsidDel="00000000" w:rsidR="00000000" w:rsidRPr="00000000">
        <w:rPr>
          <w:rtl w:val="0"/>
        </w:rPr>
      </w:r>
    </w:p>
    <w:p w:rsidR="00000000" w:rsidDel="00000000" w:rsidP="00000000" w:rsidRDefault="00000000" w:rsidRPr="00000000" w14:paraId="00000006">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its Deliverables can be met by the Suppliers’ </w:t>
      </w:r>
      <w:r w:rsidDel="00000000" w:rsidR="00000000" w:rsidRPr="00000000">
        <w:rPr>
          <w:rFonts w:ascii="Arial" w:cs="Arial" w:eastAsia="Arial" w:hAnsi="Arial"/>
          <w:sz w:val="24"/>
          <w:szCs w:val="24"/>
          <w:rtl w:val="0"/>
        </w:rPr>
        <w:t xml:space="preserve">Prospectus</w:t>
      </w:r>
      <w:r w:rsidDel="00000000" w:rsidR="00000000" w:rsidRPr="00000000">
        <w:rPr>
          <w:rFonts w:ascii="Arial" w:cs="Arial" w:eastAsia="Arial" w:hAnsi="Arial"/>
          <w:color w:val="000000"/>
          <w:sz w:val="24"/>
          <w:szCs w:val="24"/>
          <w:rtl w:val="0"/>
        </w:rPr>
        <w:t xml:space="preserve"> Framework Schedule 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Supplier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Prospectus</w:t>
      </w:r>
      <w:r w:rsidDel="00000000" w:rsidR="00000000" w:rsidRPr="00000000">
        <w:rPr>
          <w:rFonts w:ascii="Arial" w:cs="Arial" w:eastAsia="Arial" w:hAnsi="Arial"/>
          <w:color w:val="000000"/>
          <w:sz w:val="24"/>
          <w:szCs w:val="24"/>
          <w:rtl w:val="0"/>
        </w:rPr>
        <w:t xml:space="preserve">)_ and/or  description of the Deliverables as set out in Framework Schedule 1 (Specification) and/or Framework Schedule 2 (Framework Tender); and</w:t>
      </w:r>
      <w:r w:rsidDel="00000000" w:rsidR="00000000" w:rsidRPr="00000000">
        <w:rPr>
          <w:rtl w:val="0"/>
        </w:rPr>
      </w:r>
    </w:p>
    <w:p w:rsidR="00000000" w:rsidDel="00000000" w:rsidP="00000000" w:rsidRDefault="00000000" w:rsidRPr="00000000" w14:paraId="00000007">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all of the terms of the proposed Call-Off Contract are laid down in this Contract and do not require amendment or any supplementary terms and conditions;</w:t>
      </w: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tabs>
          <w:tab w:val="left" w:pos="4536"/>
        </w:tabs>
        <w:spacing w:after="220" w:lineRule="auto"/>
        <w:ind w:left="93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Buyer may award a Call-Off Contract in accordance with the procedure set out in Paragraph 2 below.</w:t>
      </w:r>
    </w:p>
    <w:p w:rsidR="00000000" w:rsidDel="00000000" w:rsidP="00000000" w:rsidRDefault="00000000" w:rsidRPr="00000000" w14:paraId="00000009">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all of the terms of the proposed Call-Off Contract are not laid down in this Contract and the potential Buyer:</w:t>
      </w:r>
      <w:r w:rsidDel="00000000" w:rsidR="00000000" w:rsidRPr="00000000">
        <w:rPr>
          <w:rtl w:val="0"/>
        </w:rPr>
      </w:r>
    </w:p>
    <w:p w:rsidR="00000000" w:rsidDel="00000000" w:rsidP="00000000" w:rsidRDefault="00000000" w:rsidRPr="00000000" w14:paraId="0000000A">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requires the Supplier to develop proposals or a solution in respect of such Deliverables; and/or</w:t>
      </w:r>
      <w:r w:rsidDel="00000000" w:rsidR="00000000" w:rsidRPr="00000000">
        <w:rPr>
          <w:rtl w:val="0"/>
        </w:rPr>
      </w:r>
    </w:p>
    <w:p w:rsidR="00000000" w:rsidDel="00000000" w:rsidP="00000000" w:rsidRDefault="00000000" w:rsidRPr="00000000" w14:paraId="0000000B">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needs to amend or refine the terms of the Framework Contract to reflect its Deliverables to the extent permitted by and in accordance with the Regulations;</w:t>
      </w: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left" w:pos="4536"/>
        </w:tabs>
        <w:spacing w:after="220" w:lineRule="auto"/>
        <w:ind w:left="9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Buyer may award a Call-Off Contract in accordance with the Further Competition Procedure set out in Paragraph 3 below.</w:t>
      </w:r>
    </w:p>
    <w:p w:rsidR="00000000" w:rsidDel="00000000" w:rsidP="00000000" w:rsidRDefault="00000000" w:rsidRPr="00000000" w14:paraId="0000000D">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How a direct award works</w:t>
      </w:r>
      <w:r w:rsidDel="00000000" w:rsidR="00000000" w:rsidRPr="00000000">
        <w:rPr>
          <w:rtl w:val="0"/>
        </w:rPr>
      </w:r>
    </w:p>
    <w:p w:rsidR="00000000" w:rsidDel="00000000" w:rsidP="00000000" w:rsidRDefault="00000000" w:rsidRPr="00000000" w14:paraId="0000000E">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Subject to Paragraph 1.2 above the Buyer awarding a Call-Off Contract under this Contract without holding a further competition shall:</w:t>
      </w:r>
      <w:r w:rsidDel="00000000" w:rsidR="00000000" w:rsidRPr="00000000">
        <w:rPr>
          <w:rtl w:val="0"/>
        </w:rPr>
      </w:r>
    </w:p>
    <w:p w:rsidR="00000000" w:rsidDel="00000000" w:rsidP="00000000" w:rsidRDefault="00000000" w:rsidRPr="00000000" w14:paraId="0000000F">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develop a clear Statement of Requirements;</w:t>
      </w:r>
      <w:r w:rsidDel="00000000" w:rsidR="00000000" w:rsidRPr="00000000">
        <w:rPr>
          <w:rtl w:val="0"/>
        </w:rPr>
      </w:r>
    </w:p>
    <w:p w:rsidR="00000000" w:rsidDel="00000000" w:rsidP="00000000" w:rsidRDefault="00000000" w:rsidRPr="00000000" w14:paraId="00000010">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apply the direct award criteria to the Suppliers’ Prospectus  and/or description of the Deliverables as set out in Framework Schedule 1 (Specification) and / or Framework Schedule 2 (Framework Tender) for all Suppliers capable of meeting the Statement of Requirements in order to establish which Supplier provides the most economically advantageous solution; and</w:t>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tabs>
          <w:tab w:val="left" w:pos="3641"/>
        </w:tabs>
        <w:spacing w:after="120" w:before="120" w:lineRule="auto"/>
        <w:ind w:left="19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the basis set out above, award the Call-Off Contract with the successful Supplier in accordance with Paragraph 6 below.</w:t>
      </w:r>
    </w:p>
    <w:p w:rsidR="00000000" w:rsidDel="00000000" w:rsidP="00000000" w:rsidRDefault="00000000" w:rsidRPr="00000000" w14:paraId="00000012">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How a further competition works</w:t>
      </w:r>
      <w:r w:rsidDel="00000000" w:rsidR="00000000" w:rsidRPr="00000000">
        <w:rPr>
          <w:rtl w:val="0"/>
        </w:rPr>
      </w:r>
    </w:p>
    <w:p w:rsidR="00000000" w:rsidDel="00000000" w:rsidP="00000000" w:rsidRDefault="00000000" w:rsidRPr="00000000" w14:paraId="00000013">
      <w:pPr>
        <w:keepNext w:val="1"/>
        <w:widowControl w:val="1"/>
        <w:pBdr>
          <w:top w:space="0" w:sz="0" w:val="nil"/>
          <w:left w:space="0" w:sz="0" w:val="nil"/>
          <w:bottom w:space="0" w:sz="0" w:val="nil"/>
          <w:right w:space="0" w:sz="0" w:val="nil"/>
          <w:between w:space="0" w:sz="0" w:val="nil"/>
        </w:pBdr>
        <w:tabs>
          <w:tab w:val="left" w:pos="3054"/>
        </w:tabs>
        <w:spacing w:after="120" w:before="120" w:lineRule="auto"/>
        <w:ind w:left="1134" w:hanging="774"/>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the Buyer has to do</w:t>
      </w:r>
    </w:p>
    <w:p w:rsidR="00000000" w:rsidDel="00000000" w:rsidP="00000000" w:rsidRDefault="00000000" w:rsidRPr="00000000" w14:paraId="00000014">
      <w:pPr>
        <w:widowControl w:val="1"/>
        <w:numPr>
          <w:ilvl w:val="1"/>
          <w:numId w:val="2"/>
        </w:numPr>
        <w:pBdr>
          <w:top w:space="0" w:sz="0" w:val="nil"/>
          <w:left w:space="0" w:sz="0" w:val="nil"/>
          <w:bottom w:space="0" w:sz="0" w:val="nil"/>
          <w:right w:space="0" w:sz="0" w:val="nil"/>
          <w:between w:space="0" w:sz="0" w:val="nil"/>
        </w:pBdr>
        <w:spacing w:after="280" w:before="120" w:line="259" w:lineRule="auto"/>
        <w:ind w:left="1080" w:hanging="360"/>
        <w:jc w:val="both"/>
        <w:rPr>
          <w:rFonts w:ascii="Arial" w:cs="Arial" w:eastAsia="Arial" w:hAnsi="Arial"/>
        </w:rPr>
      </w:pPr>
      <w:r w:rsidDel="00000000" w:rsidR="00000000" w:rsidRPr="00000000">
        <w:rPr>
          <w:rFonts w:ascii="Arial" w:cs="Arial" w:eastAsia="Arial" w:hAnsi="Arial"/>
          <w:color w:val="000000"/>
          <w:sz w:val="24"/>
          <w:szCs w:val="24"/>
          <w:rtl w:val="0"/>
        </w:rPr>
        <w:t xml:space="preserve">If applicable, the Buyer may use the following procedure to shortlist Suppliers before entering into a Further Competition Procedure: </w:t>
      </w:r>
      <w:r w:rsidDel="00000000" w:rsidR="00000000" w:rsidRPr="00000000">
        <w:rPr>
          <w:rtl w:val="0"/>
        </w:rPr>
      </w:r>
    </w:p>
    <w:p w:rsidR="00000000" w:rsidDel="00000000" w:rsidP="00000000" w:rsidRDefault="00000000" w:rsidRPr="00000000" w14:paraId="00000015">
      <w:pPr>
        <w:widowControl w:val="1"/>
        <w:numPr>
          <w:ilvl w:val="2"/>
          <w:numId w:val="2"/>
        </w:numPr>
        <w:pBdr>
          <w:top w:space="0" w:sz="0" w:val="nil"/>
          <w:left w:space="0" w:sz="0" w:val="nil"/>
          <w:bottom w:space="0" w:sz="0" w:val="nil"/>
          <w:right w:space="0" w:sz="0" w:val="nil"/>
          <w:between w:space="0" w:sz="0" w:val="nil"/>
        </w:pBdr>
        <w:spacing w:after="280" w:before="120" w:line="259" w:lineRule="auto"/>
        <w:ind w:left="2610" w:hanging="720"/>
        <w:rPr>
          <w:rFonts w:ascii="Arial" w:cs="Arial" w:eastAsia="Arial" w:hAnsi="Arial"/>
        </w:rPr>
      </w:pPr>
      <w:r w:rsidDel="00000000" w:rsidR="00000000" w:rsidRPr="00000000">
        <w:rPr>
          <w:rFonts w:ascii="Arial" w:cs="Arial" w:eastAsia="Arial" w:hAnsi="Arial"/>
          <w:sz w:val="24"/>
          <w:szCs w:val="24"/>
          <w:rtl w:val="0"/>
        </w:rPr>
        <w:t xml:space="preserve">Suppliers Prospectus</w:t>
      </w:r>
      <w:r w:rsidDel="00000000" w:rsidR="00000000" w:rsidRPr="00000000">
        <w:rPr>
          <w:rFonts w:ascii="Arial" w:cs="Arial" w:eastAsia="Arial" w:hAnsi="Arial"/>
          <w:color w:val="000000"/>
          <w:sz w:val="24"/>
          <w:szCs w:val="24"/>
          <w:rtl w:val="0"/>
        </w:rPr>
        <w:t xml:space="preserve"> – The Buyer will produce a Supplier shortlist based on the Suppliers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Prospectuses. </w:t>
      </w:r>
      <w:r w:rsidDel="00000000" w:rsidR="00000000" w:rsidRPr="00000000">
        <w:rPr>
          <w:rtl w:val="0"/>
        </w:rPr>
      </w:r>
    </w:p>
    <w:p w:rsidR="00000000" w:rsidDel="00000000" w:rsidP="00000000" w:rsidRDefault="00000000" w:rsidRPr="00000000" w14:paraId="00000016">
      <w:pPr>
        <w:widowControl w:val="1"/>
        <w:numPr>
          <w:ilvl w:val="2"/>
          <w:numId w:val="2"/>
        </w:numPr>
        <w:pBdr>
          <w:top w:space="0" w:sz="0" w:val="nil"/>
          <w:left w:space="0" w:sz="0" w:val="nil"/>
          <w:bottom w:space="0" w:sz="0" w:val="nil"/>
          <w:right w:space="0" w:sz="0" w:val="nil"/>
          <w:between w:space="0" w:sz="0" w:val="nil"/>
        </w:pBdr>
        <w:spacing w:after="280" w:before="120" w:line="259" w:lineRule="auto"/>
        <w:ind w:left="2610" w:hanging="720"/>
        <w:rPr>
          <w:rFonts w:ascii="Arial" w:cs="Arial" w:eastAsia="Arial" w:hAnsi="Arial"/>
        </w:rPr>
      </w:pPr>
      <w:r w:rsidDel="00000000" w:rsidR="00000000" w:rsidRPr="00000000">
        <w:rPr>
          <w:rFonts w:ascii="Arial" w:cs="Arial" w:eastAsia="Arial" w:hAnsi="Arial"/>
          <w:color w:val="000000"/>
          <w:sz w:val="24"/>
          <w:szCs w:val="24"/>
          <w:rtl w:val="0"/>
        </w:rPr>
        <w:t xml:space="preserve">Expression Of Interest (EOI) – The Buyer may use an EOI process to produce a Supplier shortlist. The EOI may contain the following details but is not limited to: scope, scale, timescales, incumbent supplier, grades, payment terms, capacity and/or budget. </w:t>
      </w:r>
      <w:r w:rsidDel="00000000" w:rsidR="00000000" w:rsidRPr="00000000">
        <w:rPr>
          <w:rtl w:val="0"/>
        </w:rPr>
      </w:r>
    </w:p>
    <w:p w:rsidR="00000000" w:rsidDel="00000000" w:rsidP="00000000" w:rsidRDefault="00000000" w:rsidRPr="00000000" w14:paraId="00000017">
      <w:pPr>
        <w:widowControl w:val="1"/>
        <w:numPr>
          <w:ilvl w:val="2"/>
          <w:numId w:val="2"/>
        </w:numPr>
        <w:pBdr>
          <w:top w:space="0" w:sz="0" w:val="nil"/>
          <w:left w:space="0" w:sz="0" w:val="nil"/>
          <w:bottom w:space="0" w:sz="0" w:val="nil"/>
          <w:right w:space="0" w:sz="0" w:val="nil"/>
          <w:between w:space="0" w:sz="0" w:val="nil"/>
        </w:pBdr>
        <w:spacing w:after="280" w:before="120" w:line="259" w:lineRule="auto"/>
        <w:ind w:left="2610" w:hanging="720"/>
        <w:rPr>
          <w:rFonts w:ascii="Arial" w:cs="Arial" w:eastAsia="Arial" w:hAnsi="Arial"/>
        </w:rPr>
      </w:pPr>
      <w:r w:rsidDel="00000000" w:rsidR="00000000" w:rsidRPr="00000000">
        <w:rPr>
          <w:rFonts w:ascii="Arial" w:cs="Arial" w:eastAsia="Arial" w:hAnsi="Arial"/>
          <w:sz w:val="24"/>
          <w:szCs w:val="24"/>
          <w:rtl w:val="0"/>
        </w:rPr>
        <w:t xml:space="preserve">Suppliers Prospectus and </w:t>
      </w:r>
      <w:r w:rsidDel="00000000" w:rsidR="00000000" w:rsidRPr="00000000">
        <w:rPr>
          <w:rFonts w:ascii="Arial" w:cs="Arial" w:eastAsia="Arial" w:hAnsi="Arial"/>
          <w:color w:val="000000"/>
          <w:sz w:val="24"/>
          <w:szCs w:val="24"/>
          <w:rtl w:val="0"/>
        </w:rPr>
        <w:t xml:space="preserve">Expression of Interest – The Buyer may use both of the procedures detailed in paragraph 3.1.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and 3.1.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8">
      <w:pPr>
        <w:widowControl w:val="1"/>
        <w:numPr>
          <w:ilvl w:val="2"/>
          <w:numId w:val="2"/>
        </w:numPr>
        <w:pBdr>
          <w:top w:space="0" w:sz="0" w:val="nil"/>
          <w:left w:space="0" w:sz="0" w:val="nil"/>
          <w:bottom w:space="0" w:sz="0" w:val="nil"/>
          <w:right w:space="0" w:sz="0" w:val="nil"/>
          <w:between w:space="0" w:sz="0" w:val="nil"/>
        </w:pBdr>
        <w:spacing w:after="280" w:before="120" w:line="259" w:lineRule="auto"/>
        <w:ind w:left="2610" w:hanging="720"/>
        <w:rPr>
          <w:rFonts w:ascii="Arial" w:cs="Arial" w:eastAsia="Arial" w:hAnsi="Arial"/>
        </w:rPr>
      </w:pPr>
      <w:r w:rsidDel="00000000" w:rsidR="00000000" w:rsidRPr="00000000">
        <w:rPr>
          <w:rFonts w:ascii="Arial" w:cs="Arial" w:eastAsia="Arial" w:hAnsi="Arial"/>
          <w:color w:val="000000"/>
          <w:sz w:val="24"/>
          <w:szCs w:val="24"/>
          <w:rtl w:val="0"/>
        </w:rPr>
        <w:t xml:space="preserve">Conference call – The Buyer may use this after the EOI. The Buyer will provide further information on its requirement and Suppliers may have the opportunity to raise queries. </w:t>
      </w:r>
      <w:r w:rsidDel="00000000" w:rsidR="00000000" w:rsidRPr="00000000">
        <w:rPr>
          <w:rtl w:val="0"/>
        </w:rPr>
      </w:r>
    </w:p>
    <w:p w:rsidR="00000000" w:rsidDel="00000000" w:rsidP="00000000" w:rsidRDefault="00000000" w:rsidRPr="00000000" w14:paraId="00000019">
      <w:pPr>
        <w:widowControl w:val="1"/>
        <w:numPr>
          <w:ilvl w:val="2"/>
          <w:numId w:val="2"/>
        </w:numPr>
        <w:pBdr>
          <w:top w:space="0" w:sz="0" w:val="nil"/>
          <w:left w:space="0" w:sz="0" w:val="nil"/>
          <w:bottom w:space="0" w:sz="0" w:val="nil"/>
          <w:right w:space="0" w:sz="0" w:val="nil"/>
          <w:between w:space="0" w:sz="0" w:val="nil"/>
        </w:pBdr>
        <w:spacing w:after="280" w:before="120" w:line="259" w:lineRule="auto"/>
        <w:ind w:left="2610" w:hanging="720"/>
        <w:rPr>
          <w:rFonts w:ascii="Arial" w:cs="Arial" w:eastAsia="Arial" w:hAnsi="Arial"/>
        </w:rPr>
      </w:pPr>
      <w:r w:rsidDel="00000000" w:rsidR="00000000" w:rsidRPr="00000000">
        <w:rPr>
          <w:rFonts w:ascii="Arial" w:cs="Arial" w:eastAsia="Arial" w:hAnsi="Arial"/>
          <w:color w:val="000000"/>
          <w:sz w:val="24"/>
          <w:szCs w:val="24"/>
          <w:rtl w:val="0"/>
        </w:rPr>
        <w:t xml:space="preserve">Suppliers can deselect themselves through the process after being </w:t>
      </w:r>
      <w:r w:rsidDel="00000000" w:rsidR="00000000" w:rsidRPr="00000000">
        <w:rPr>
          <w:rFonts w:ascii="Arial" w:cs="Arial" w:eastAsia="Arial" w:hAnsi="Arial"/>
          <w:sz w:val="24"/>
          <w:szCs w:val="24"/>
          <w:rtl w:val="0"/>
        </w:rPr>
        <w:t xml:space="preserve">shortlisted</w:t>
      </w:r>
      <w:r w:rsidDel="00000000" w:rsidR="00000000" w:rsidRPr="00000000">
        <w:rPr>
          <w:rFonts w:ascii="Arial" w:cs="Arial" w:eastAsia="Arial" w:hAnsi="Arial"/>
          <w:color w:val="000000"/>
          <w:sz w:val="24"/>
          <w:szCs w:val="24"/>
          <w:rtl w:val="0"/>
        </w:rPr>
        <w:t xml:space="preserve"> by the P</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ospectus  and/o</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 EOI and/or conference call. </w:t>
      </w:r>
      <w:r w:rsidDel="00000000" w:rsidR="00000000" w:rsidRPr="00000000">
        <w:rPr>
          <w:rtl w:val="0"/>
        </w:rPr>
      </w:r>
    </w:p>
    <w:p w:rsidR="00000000" w:rsidDel="00000000" w:rsidP="00000000" w:rsidRDefault="00000000" w:rsidRPr="00000000" w14:paraId="0000001A">
      <w:pPr>
        <w:widowControl w:val="1"/>
        <w:numPr>
          <w:ilvl w:val="1"/>
          <w:numId w:val="2"/>
        </w:numPr>
        <w:pBdr>
          <w:top w:space="0" w:sz="0" w:val="nil"/>
          <w:left w:space="0" w:sz="0" w:val="nil"/>
          <w:bottom w:space="0" w:sz="0" w:val="nil"/>
          <w:right w:space="0" w:sz="0" w:val="nil"/>
          <w:between w:space="0" w:sz="0" w:val="nil"/>
        </w:pBdr>
        <w:spacing w:after="280" w:before="120" w:line="259" w:lineRule="auto"/>
        <w:ind w:left="1080" w:hanging="360"/>
        <w:jc w:val="both"/>
        <w:rPr>
          <w:rFonts w:ascii="Arial" w:cs="Arial" w:eastAsia="Arial" w:hAnsi="Arial"/>
        </w:rPr>
      </w:pPr>
      <w:r w:rsidDel="00000000" w:rsidR="00000000" w:rsidRPr="00000000">
        <w:rPr>
          <w:rFonts w:ascii="Arial" w:cs="Arial" w:eastAsia="Arial" w:hAnsi="Arial"/>
          <w:color w:val="000000"/>
          <w:sz w:val="24"/>
          <w:szCs w:val="24"/>
          <w:rtl w:val="0"/>
        </w:rPr>
        <w:t xml:space="preserve">If the Supplier does not respond to the EOI in accordance with any stated timescales they will not be invited to participate in the Further Competition Procedure. </w:t>
      </w:r>
      <w:r w:rsidDel="00000000" w:rsidR="00000000" w:rsidRPr="00000000">
        <w:rPr>
          <w:rtl w:val="0"/>
        </w:rPr>
      </w:r>
    </w:p>
    <w:p w:rsidR="00000000" w:rsidDel="00000000" w:rsidP="00000000" w:rsidRDefault="00000000" w:rsidRPr="00000000" w14:paraId="0000001B">
      <w:pPr>
        <w:widowControl w:val="1"/>
        <w:numPr>
          <w:ilvl w:val="1"/>
          <w:numId w:val="2"/>
        </w:numPr>
        <w:pBdr>
          <w:top w:space="0" w:sz="0" w:val="nil"/>
          <w:left w:space="0" w:sz="0" w:val="nil"/>
          <w:bottom w:space="0" w:sz="0" w:val="nil"/>
          <w:right w:space="0" w:sz="0" w:val="nil"/>
          <w:between w:space="0" w:sz="0" w:val="nil"/>
        </w:pBdr>
        <w:spacing w:after="280" w:before="120" w:line="259" w:lineRule="auto"/>
        <w:ind w:left="1080" w:hanging="360"/>
        <w:rPr>
          <w:rFonts w:ascii="Arial" w:cs="Arial" w:eastAsia="Arial" w:hAnsi="Arial"/>
        </w:rPr>
      </w:pPr>
      <w:r w:rsidDel="00000000" w:rsidR="00000000" w:rsidRPr="00000000">
        <w:rPr>
          <w:rFonts w:ascii="Arial" w:cs="Arial" w:eastAsia="Arial" w:hAnsi="Arial"/>
          <w:color w:val="000000"/>
          <w:sz w:val="24"/>
          <w:szCs w:val="24"/>
          <w:rtl w:val="0"/>
        </w:rPr>
        <w:t xml:space="preserve">If the Supplier is invited to the conference call and they do not attend they may not be invited to participate in the Further Competition Procedure. </w:t>
      </w:r>
      <w:r w:rsidDel="00000000" w:rsidR="00000000" w:rsidRPr="00000000">
        <w:rPr>
          <w:rtl w:val="0"/>
        </w:rPr>
      </w:r>
    </w:p>
    <w:p w:rsidR="00000000" w:rsidDel="00000000" w:rsidP="00000000" w:rsidRDefault="00000000" w:rsidRPr="00000000" w14:paraId="0000001C">
      <w:pPr>
        <w:widowControl w:val="1"/>
        <w:numPr>
          <w:ilvl w:val="1"/>
          <w:numId w:val="2"/>
        </w:numPr>
        <w:pBdr>
          <w:top w:space="0" w:sz="0" w:val="nil"/>
          <w:left w:space="0" w:sz="0" w:val="nil"/>
          <w:bottom w:space="0" w:sz="0" w:val="nil"/>
          <w:right w:space="0" w:sz="0" w:val="nil"/>
          <w:between w:space="0" w:sz="0" w:val="nil"/>
        </w:pBdr>
        <w:spacing w:after="280" w:before="120" w:line="259" w:lineRule="auto"/>
        <w:ind w:left="1080" w:hanging="360"/>
        <w:rPr>
          <w:rFonts w:ascii="Arial" w:cs="Arial" w:eastAsia="Arial" w:hAnsi="Arial"/>
        </w:rPr>
      </w:pPr>
      <w:r w:rsidDel="00000000" w:rsidR="00000000" w:rsidRPr="00000000">
        <w:rPr>
          <w:rFonts w:ascii="Arial" w:cs="Arial" w:eastAsia="Arial" w:hAnsi="Arial"/>
          <w:color w:val="000000"/>
          <w:sz w:val="24"/>
          <w:szCs w:val="24"/>
          <w:rtl w:val="0"/>
        </w:rPr>
        <w:t xml:space="preserve">CCS reserves the right to add or change the </w:t>
      </w:r>
      <w:r w:rsidDel="00000000" w:rsidR="00000000" w:rsidRPr="00000000">
        <w:rPr>
          <w:rFonts w:ascii="Arial" w:cs="Arial" w:eastAsia="Arial" w:hAnsi="Arial"/>
          <w:sz w:val="24"/>
          <w:szCs w:val="24"/>
          <w:rtl w:val="0"/>
        </w:rPr>
        <w:t xml:space="preserve">Prospectus </w:t>
      </w:r>
      <w:r w:rsidDel="00000000" w:rsidR="00000000" w:rsidRPr="00000000">
        <w:rPr>
          <w:rFonts w:ascii="Arial" w:cs="Arial" w:eastAsia="Arial" w:hAnsi="Arial"/>
          <w:color w:val="000000"/>
          <w:sz w:val="24"/>
          <w:szCs w:val="24"/>
          <w:rtl w:val="0"/>
        </w:rPr>
        <w:t xml:space="preserve"> and the EOI template throughout the lifetime of the Framework Agreement. </w:t>
      </w:r>
      <w:r w:rsidDel="00000000" w:rsidR="00000000" w:rsidRPr="00000000">
        <w:rPr>
          <w:rtl w:val="0"/>
        </w:rPr>
      </w:r>
    </w:p>
    <w:p w:rsidR="00000000" w:rsidDel="00000000" w:rsidP="00000000" w:rsidRDefault="00000000" w:rsidRPr="00000000" w14:paraId="0000001D">
      <w:pPr>
        <w:widowControl w:val="1"/>
        <w:numPr>
          <w:ilvl w:val="1"/>
          <w:numId w:val="2"/>
        </w:numPr>
        <w:pBdr>
          <w:top w:space="0" w:sz="0" w:val="nil"/>
          <w:left w:space="0" w:sz="0" w:val="nil"/>
          <w:bottom w:space="0" w:sz="0" w:val="nil"/>
          <w:right w:space="0" w:sz="0" w:val="nil"/>
          <w:between w:space="0" w:sz="0" w:val="nil"/>
        </w:pBdr>
        <w:spacing w:after="280" w:before="120" w:line="259" w:lineRule="auto"/>
        <w:ind w:left="1080" w:hanging="360"/>
        <w:rPr>
          <w:rFonts w:ascii="Arial" w:cs="Arial" w:eastAsia="Arial" w:hAnsi="Arial"/>
        </w:rPr>
      </w:pPr>
      <w:r w:rsidDel="00000000" w:rsidR="00000000" w:rsidRPr="00000000">
        <w:rPr>
          <w:rFonts w:ascii="Arial" w:cs="Arial" w:eastAsia="Arial" w:hAnsi="Arial"/>
          <w:color w:val="000000"/>
          <w:sz w:val="24"/>
          <w:szCs w:val="24"/>
          <w:rtl w:val="0"/>
        </w:rPr>
        <w:t xml:space="preserve">The Supplier may update their Prospectus  during the lifetime of the Framework Agreement subject to CCS </w:t>
      </w:r>
      <w:r w:rsidDel="00000000" w:rsidR="00000000" w:rsidRPr="00000000">
        <w:rPr>
          <w:rFonts w:ascii="Arial" w:cs="Arial" w:eastAsia="Arial" w:hAnsi="Arial"/>
          <w:sz w:val="24"/>
          <w:szCs w:val="24"/>
          <w:rtl w:val="0"/>
        </w:rPr>
        <w:t xml:space="preserve">approval</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E">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Buyer awarding a Call-Off Contract under this Contract through a Further Competition Procedure shall:</w:t>
      </w:r>
      <w:r w:rsidDel="00000000" w:rsidR="00000000" w:rsidRPr="00000000">
        <w:rPr>
          <w:rtl w:val="0"/>
        </w:rPr>
      </w:r>
    </w:p>
    <w:p w:rsidR="00000000" w:rsidDel="00000000" w:rsidP="00000000" w:rsidRDefault="00000000" w:rsidRPr="00000000" w14:paraId="0000001F">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develop a Statement of Requirements setting out its requirements for the Deliverables and identify the Suppliers capable of supplying the them;</w:t>
      </w:r>
      <w:r w:rsidDel="00000000" w:rsidR="00000000" w:rsidRPr="00000000">
        <w:rPr>
          <w:rtl w:val="0"/>
        </w:rPr>
      </w:r>
    </w:p>
    <w:p w:rsidR="00000000" w:rsidDel="00000000" w:rsidP="00000000" w:rsidRDefault="00000000" w:rsidRPr="00000000" w14:paraId="00000020">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amend or refine the Deliverables to reflect its requirements by using the Order Form only to the extent permitted by and in accordance with the requirements of the Regulations;</w:t>
      </w:r>
      <w:r w:rsidDel="00000000" w:rsidR="00000000" w:rsidRPr="00000000">
        <w:rPr>
          <w:rtl w:val="0"/>
        </w:rPr>
      </w:r>
    </w:p>
    <w:p w:rsidR="00000000" w:rsidDel="00000000" w:rsidP="00000000" w:rsidRDefault="00000000" w:rsidRPr="00000000" w14:paraId="00000021">
      <w:pPr>
        <w:keepNext w:val="1"/>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invite tenders by conducting a Further Competition Procedure for its Deliverables in accordance with the Regulations and in particular:</w:t>
      </w:r>
      <w:r w:rsidDel="00000000" w:rsidR="00000000" w:rsidRPr="00000000">
        <w:rPr>
          <w:rtl w:val="0"/>
        </w:rPr>
      </w:r>
    </w:p>
    <w:p w:rsidR="00000000" w:rsidDel="00000000" w:rsidP="00000000" w:rsidRDefault="00000000" w:rsidRPr="00000000" w14:paraId="00000022">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an Electronic Reverse Auction is to be held, the Buyer shall notify the Suppliers identified in accordance with Paragraph 3.1.1 and shall conduct the Further Competition Procedure in accordance with the procedures set out in Paragraph 3; or</w:t>
      </w:r>
      <w:r w:rsidDel="00000000" w:rsidR="00000000" w:rsidRPr="00000000">
        <w:rPr>
          <w:rtl w:val="0"/>
        </w:rPr>
      </w:r>
    </w:p>
    <w:p w:rsidR="00000000" w:rsidDel="00000000" w:rsidP="00000000" w:rsidRDefault="00000000" w:rsidRPr="00000000" w14:paraId="00000023">
      <w:pPr>
        <w:keepNext w:val="1"/>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an Electronic Reverse Auction is not used, the Buyer shall:</w:t>
      </w:r>
      <w:r w:rsidDel="00000000" w:rsidR="00000000" w:rsidRPr="00000000">
        <w:rPr>
          <w:rtl w:val="0"/>
        </w:rPr>
      </w:r>
    </w:p>
    <w:p w:rsidR="00000000" w:rsidDel="00000000" w:rsidP="00000000" w:rsidRDefault="00000000" w:rsidRPr="00000000" w14:paraId="00000024">
      <w:pPr>
        <w:widowControl w:val="1"/>
        <w:numPr>
          <w:ilvl w:val="4"/>
          <w:numId w:val="2"/>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invite the Suppliers identified in accordance with Paragraph 3.1.1 to submit a tender in writing for each proposed Call-Off Contract to be awarded by giving written notice by email to the relevant Supplier Representative of each Supplier;</w:t>
      </w:r>
    </w:p>
    <w:p w:rsidR="00000000" w:rsidDel="00000000" w:rsidP="00000000" w:rsidRDefault="00000000" w:rsidRPr="00000000" w14:paraId="00000025">
      <w:pPr>
        <w:widowControl w:val="1"/>
        <w:numPr>
          <w:ilvl w:val="4"/>
          <w:numId w:val="2"/>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 a time limit for the receipt by it of the tenders which takes into account factors such as the complexity of the subject matter of the proposed Call-Off Contract and the time needed to submit tenders; and</w:t>
      </w:r>
    </w:p>
    <w:p w:rsidR="00000000" w:rsidDel="00000000" w:rsidP="00000000" w:rsidRDefault="00000000" w:rsidRPr="00000000" w14:paraId="00000026">
      <w:pPr>
        <w:widowControl w:val="1"/>
        <w:numPr>
          <w:ilvl w:val="4"/>
          <w:numId w:val="2"/>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keep each tender confidential until the time limit set out for the return of tenders has expired.</w:t>
      </w:r>
    </w:p>
    <w:p w:rsidR="00000000" w:rsidDel="00000000" w:rsidP="00000000" w:rsidRDefault="00000000" w:rsidRPr="00000000" w14:paraId="00000027">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apply the further competition award criteria to the Suppliers' compliant tenders submitted through the Further Competition Procedure as the basis of its decision to award a Call-Off Contract for its Deliverables;</w:t>
      </w:r>
      <w:r w:rsidDel="00000000" w:rsidR="00000000" w:rsidRPr="00000000">
        <w:rPr>
          <w:rtl w:val="0"/>
        </w:rPr>
      </w:r>
    </w:p>
    <w:p w:rsidR="00000000" w:rsidDel="00000000" w:rsidP="00000000" w:rsidRDefault="00000000" w:rsidRPr="00000000" w14:paraId="00000028">
      <w:pPr>
        <w:keepNext w:val="1"/>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on the basis set out above, award its Call-Off Contract to the successful Supplier in accordance with Paragraph 6. The Call-Off Contract shall:</w:t>
      </w:r>
      <w:r w:rsidDel="00000000" w:rsidR="00000000" w:rsidRPr="00000000">
        <w:rPr>
          <w:rtl w:val="0"/>
        </w:rPr>
      </w:r>
    </w:p>
    <w:p w:rsidR="00000000" w:rsidDel="00000000" w:rsidP="00000000" w:rsidRDefault="00000000" w:rsidRPr="00000000" w14:paraId="00000029">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state the Deliverables;</w:t>
      </w:r>
      <w:r w:rsidDel="00000000" w:rsidR="00000000" w:rsidRPr="00000000">
        <w:rPr>
          <w:rtl w:val="0"/>
        </w:rPr>
      </w:r>
    </w:p>
    <w:p w:rsidR="00000000" w:rsidDel="00000000" w:rsidP="00000000" w:rsidRDefault="00000000" w:rsidRPr="00000000" w14:paraId="0000002A">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state the tender submitted by the successful Supplier;</w:t>
      </w:r>
      <w:r w:rsidDel="00000000" w:rsidR="00000000" w:rsidRPr="00000000">
        <w:rPr>
          <w:rtl w:val="0"/>
        </w:rPr>
      </w:r>
    </w:p>
    <w:p w:rsidR="00000000" w:rsidDel="00000000" w:rsidP="00000000" w:rsidRDefault="00000000" w:rsidRPr="00000000" w14:paraId="0000002B">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state the Charges payable for the Deliverables in accordance with the tender submitted by the successful Supplier; and</w:t>
      </w:r>
      <w:r w:rsidDel="00000000" w:rsidR="00000000" w:rsidRPr="00000000">
        <w:rPr>
          <w:rtl w:val="0"/>
        </w:rPr>
      </w:r>
    </w:p>
    <w:p w:rsidR="00000000" w:rsidDel="00000000" w:rsidP="00000000" w:rsidRDefault="00000000" w:rsidRPr="00000000" w14:paraId="0000002C">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incorporate the terms of the Order Form and Contract (as may be amended or refined by the Buyer in accordance with Paragraph 3.1.2. above) applicable to the Deliverables,</w:t>
      </w:r>
      <w:r w:rsidDel="00000000" w:rsidR="00000000" w:rsidRPr="00000000">
        <w:rPr>
          <w:rtl w:val="0"/>
        </w:rPr>
      </w:r>
    </w:p>
    <w:p w:rsidR="00000000" w:rsidDel="00000000" w:rsidP="00000000" w:rsidRDefault="00000000" w:rsidRPr="00000000" w14:paraId="0000002D">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provide unsuccessful Suppliers with written feedback in relation to the reasons why their tenders were unsuccessful.</w:t>
      </w:r>
      <w:r w:rsidDel="00000000" w:rsidR="00000000" w:rsidRPr="00000000">
        <w:rPr>
          <w:rtl w:val="0"/>
        </w:rPr>
      </w:r>
    </w:p>
    <w:p w:rsidR="00000000" w:rsidDel="00000000" w:rsidP="00000000" w:rsidRDefault="00000000" w:rsidRPr="00000000" w14:paraId="0000002E">
      <w:pPr>
        <w:keepNext w:val="1"/>
        <w:widowControl w:val="1"/>
        <w:pBdr>
          <w:top w:space="0" w:sz="0" w:val="nil"/>
          <w:left w:space="0" w:sz="0" w:val="nil"/>
          <w:bottom w:space="0" w:sz="0" w:val="nil"/>
          <w:right w:space="0" w:sz="0" w:val="nil"/>
          <w:between w:space="0" w:sz="0" w:val="nil"/>
        </w:pBdr>
        <w:tabs>
          <w:tab w:val="left" w:pos="3054"/>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the Supplier has to do</w:t>
      </w:r>
    </w:p>
    <w:p w:rsidR="00000000" w:rsidDel="00000000" w:rsidP="00000000" w:rsidRDefault="00000000" w:rsidRPr="00000000" w14:paraId="0000002F">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The Supplier shall in writing, by the time and date specified by the Buyer following an invitation to tender pursuant to Paragraph 3.1.3 above, provide CCS and the Buyer with either:</w:t>
      </w: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tabs>
          <w:tab w:val="left" w:pos="3641"/>
        </w:tabs>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statement to the effect that it does not wish to tender in relation to the Deliverables; or</w:t>
      </w:r>
      <w:r w:rsidDel="00000000" w:rsidR="00000000" w:rsidRPr="00000000">
        <w:rPr>
          <w:rtl w:val="0"/>
        </w:rPr>
      </w:r>
    </w:p>
    <w:p w:rsidR="00000000" w:rsidDel="00000000" w:rsidP="00000000" w:rsidRDefault="00000000" w:rsidRPr="00000000" w14:paraId="00000032">
      <w:pPr>
        <w:keepNext w:val="1"/>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full details of its tender made in respect of the relevant Statement of Requirements. In the event that the Supplier submits such a tender, it should include, as a minimum:</w:t>
      </w:r>
      <w:r w:rsidDel="00000000" w:rsidR="00000000" w:rsidRPr="00000000">
        <w:rPr>
          <w:rtl w:val="0"/>
        </w:rPr>
      </w:r>
    </w:p>
    <w:p w:rsidR="00000000" w:rsidDel="00000000" w:rsidP="00000000" w:rsidRDefault="00000000" w:rsidRPr="00000000" w14:paraId="00000033">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an email response subject line to comprise unique reference number and Supplier name, so as to clearly identify the Supplier;</w:t>
      </w:r>
      <w:r w:rsidDel="00000000" w:rsidR="00000000" w:rsidRPr="00000000">
        <w:rPr>
          <w:rtl w:val="0"/>
        </w:rPr>
      </w:r>
    </w:p>
    <w:p w:rsidR="00000000" w:rsidDel="00000000" w:rsidP="00000000" w:rsidRDefault="00000000" w:rsidRPr="00000000" w14:paraId="00000034">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brief summary, in the email (followed by a confirmation letter), stating that the Supplier is bidding for the Statement of Requirements;</w:t>
      </w:r>
      <w:r w:rsidDel="00000000" w:rsidR="00000000" w:rsidRPr="00000000">
        <w:rPr>
          <w:rtl w:val="0"/>
        </w:rPr>
      </w:r>
    </w:p>
    <w:p w:rsidR="00000000" w:rsidDel="00000000" w:rsidP="00000000" w:rsidRDefault="00000000" w:rsidRPr="00000000" w14:paraId="00000035">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proposal covering the Deliverables;</w:t>
      </w:r>
      <w:r w:rsidDel="00000000" w:rsidR="00000000" w:rsidRPr="00000000">
        <w:rPr>
          <w:rtl w:val="0"/>
        </w:rPr>
      </w:r>
    </w:p>
    <w:p w:rsidR="00000000" w:rsidDel="00000000" w:rsidP="00000000" w:rsidRDefault="00000000" w:rsidRPr="00000000" w14:paraId="00000036">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CVs of key staff – as a minimum any lead consultant, with others, as considered appropriate along with required staff levels (if necessary); and</w:t>
      </w:r>
      <w:r w:rsidDel="00000000" w:rsidR="00000000" w:rsidRPr="00000000">
        <w:rPr>
          <w:rtl w:val="0"/>
        </w:rPr>
      </w:r>
    </w:p>
    <w:p w:rsidR="00000000" w:rsidDel="00000000" w:rsidP="00000000" w:rsidRDefault="00000000" w:rsidRPr="00000000" w14:paraId="00000037">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confirmation of discounts applicable to the Deliverables, as referenced in Framework Schedule 3 (Framework Prices) (if applicable).</w:t>
      </w:r>
      <w:r w:rsidDel="00000000" w:rsidR="00000000" w:rsidRPr="00000000">
        <w:rPr>
          <w:rtl w:val="0"/>
        </w:rPr>
      </w:r>
    </w:p>
    <w:p w:rsidR="00000000" w:rsidDel="00000000" w:rsidP="00000000" w:rsidRDefault="00000000" w:rsidRPr="00000000" w14:paraId="00000038">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r w:rsidDel="00000000" w:rsidR="00000000" w:rsidRPr="00000000">
        <w:rPr>
          <w:rtl w:val="0"/>
        </w:rPr>
      </w:r>
    </w:p>
    <w:p w:rsidR="00000000" w:rsidDel="00000000" w:rsidP="00000000" w:rsidRDefault="00000000" w:rsidRPr="00000000" w14:paraId="00000039">
      <w:pPr>
        <w:keepNext w:val="1"/>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 agrees that:</w:t>
      </w:r>
      <w:r w:rsidDel="00000000" w:rsidR="00000000" w:rsidRPr="00000000">
        <w:rPr>
          <w:rtl w:val="0"/>
        </w:rPr>
      </w:r>
    </w:p>
    <w:p w:rsidR="00000000" w:rsidDel="00000000" w:rsidP="00000000" w:rsidRDefault="00000000" w:rsidRPr="00000000" w14:paraId="0000003A">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r w:rsidDel="00000000" w:rsidR="00000000" w:rsidRPr="00000000">
        <w:rPr>
          <w:rtl w:val="0"/>
        </w:rPr>
      </w:r>
    </w:p>
    <w:p w:rsidR="00000000" w:rsidDel="00000000" w:rsidP="00000000" w:rsidRDefault="00000000" w:rsidRPr="00000000" w14:paraId="0000003B">
      <w:pPr>
        <w:widowControl w:val="1"/>
        <w:numPr>
          <w:ilvl w:val="3"/>
          <w:numId w:val="2"/>
        </w:numPr>
        <w:pBdr>
          <w:top w:space="0" w:sz="0" w:val="nil"/>
          <w:left w:space="0" w:sz="0" w:val="nil"/>
          <w:bottom w:space="0" w:sz="0" w:val="nil"/>
          <w:right w:space="0" w:sz="0" w:val="nil"/>
          <w:between w:space="0" w:sz="0" w:val="nil"/>
        </w:pBdr>
        <w:tabs>
          <w:tab w:val="left" w:pos="3641"/>
        </w:tabs>
        <w:spacing w:after="120" w:before="120" w:lineRule="auto"/>
        <w:ind w:left="2592" w:hanging="936"/>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r w:rsidDel="00000000" w:rsidR="00000000" w:rsidRPr="00000000">
        <w:rPr>
          <w:rtl w:val="0"/>
        </w:rPr>
      </w:r>
    </w:p>
    <w:p w:rsidR="00000000" w:rsidDel="00000000" w:rsidP="00000000" w:rsidRDefault="00000000" w:rsidRPr="00000000" w14:paraId="0000003C">
      <w:pPr>
        <w:widowControl w:val="1"/>
        <w:numPr>
          <w:ilvl w:val="4"/>
          <w:numId w:val="2"/>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000000" w:rsidDel="00000000" w:rsidP="00000000" w:rsidRDefault="00000000" w:rsidRPr="00000000" w14:paraId="0000003D">
      <w:pPr>
        <w:widowControl w:val="1"/>
        <w:numPr>
          <w:ilvl w:val="4"/>
          <w:numId w:val="2"/>
        </w:numPr>
        <w:pBdr>
          <w:top w:space="0" w:sz="0" w:val="nil"/>
          <w:left w:space="0" w:sz="0" w:val="nil"/>
          <w:bottom w:space="0" w:sz="0" w:val="nil"/>
          <w:right w:space="0" w:sz="0" w:val="nil"/>
          <w:between w:space="0" w:sz="0" w:val="nil"/>
        </w:pBdr>
        <w:tabs>
          <w:tab w:val="left" w:pos="6238"/>
        </w:tabs>
        <w:spacing w:after="120" w:before="120" w:lineRule="auto"/>
        <w:ind w:left="3119"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enter into any arrangement or agreement with any other person that he or the other person(s) shall refrain from submitting a tender or as to the amount of any tenders to be submitted.</w:t>
      </w:r>
    </w:p>
    <w:p w:rsidR="00000000" w:rsidDel="00000000" w:rsidP="00000000" w:rsidRDefault="00000000" w:rsidRPr="00000000" w14:paraId="0000003E">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smallCaps w:val="1"/>
          <w:color w:val="000000"/>
        </w:rPr>
      </w:pPr>
      <w:r w:rsidDel="00000000" w:rsidR="00000000" w:rsidRPr="00000000">
        <w:rPr>
          <w:rFonts w:ascii="Arial" w:cs="Arial" w:eastAsia="Arial" w:hAnsi="Arial"/>
          <w:b w:val="1"/>
          <w:color w:val="000000"/>
          <w:sz w:val="24"/>
          <w:szCs w:val="24"/>
          <w:rtl w:val="0"/>
        </w:rPr>
        <w:t xml:space="preserve">No requirement to award</w:t>
      </w:r>
      <w:r w:rsidDel="00000000" w:rsidR="00000000" w:rsidRPr="00000000">
        <w:rPr>
          <w:rtl w:val="0"/>
        </w:rPr>
      </w:r>
    </w:p>
    <w:p w:rsidR="00000000" w:rsidDel="00000000" w:rsidP="00000000" w:rsidRDefault="00000000" w:rsidRPr="00000000" w14:paraId="0000003F">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r w:rsidDel="00000000" w:rsidR="00000000" w:rsidRPr="00000000">
        <w:rPr>
          <w:rtl w:val="0"/>
        </w:rPr>
      </w:r>
    </w:p>
    <w:p w:rsidR="00000000" w:rsidDel="00000000" w:rsidP="00000000" w:rsidRDefault="00000000" w:rsidRPr="00000000" w14:paraId="00000040">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Who is responsible for the award</w:t>
      </w:r>
      <w:r w:rsidDel="00000000" w:rsidR="00000000" w:rsidRPr="00000000">
        <w:rPr>
          <w:rtl w:val="0"/>
        </w:rPr>
      </w:r>
    </w:p>
    <w:p w:rsidR="00000000" w:rsidDel="00000000" w:rsidP="00000000" w:rsidRDefault="00000000" w:rsidRPr="00000000" w14:paraId="00000041">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r w:rsidDel="00000000" w:rsidR="00000000" w:rsidRPr="00000000">
        <w:rPr>
          <w:rtl w:val="0"/>
        </w:rPr>
      </w:r>
    </w:p>
    <w:p w:rsidR="00000000" w:rsidDel="00000000" w:rsidP="00000000" w:rsidRDefault="00000000" w:rsidRPr="00000000" w14:paraId="00000042">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conduct of Buyer in relation to this Contract; or</w:t>
      </w:r>
      <w:r w:rsidDel="00000000" w:rsidR="00000000" w:rsidRPr="00000000">
        <w:rPr>
          <w:rtl w:val="0"/>
        </w:rPr>
      </w:r>
    </w:p>
    <w:p w:rsidR="00000000" w:rsidDel="00000000" w:rsidP="00000000" w:rsidRDefault="00000000" w:rsidRPr="00000000" w14:paraId="00000043">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performance or non-performance of any Call-Off Contracts between the Supplier and Buyer entered into pursuant to this Contract.</w:t>
      </w:r>
      <w:r w:rsidDel="00000000" w:rsidR="00000000" w:rsidRPr="00000000">
        <w:rPr>
          <w:rtl w:val="0"/>
        </w:rPr>
      </w:r>
    </w:p>
    <w:p w:rsidR="00000000" w:rsidDel="00000000" w:rsidP="00000000" w:rsidRDefault="00000000" w:rsidRPr="00000000" w14:paraId="00000044">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smallCaps w:val="1"/>
          <w:color w:val="000000"/>
        </w:rPr>
      </w:pPr>
      <w:r w:rsidDel="00000000" w:rsidR="00000000" w:rsidRPr="00000000">
        <w:rPr>
          <w:rFonts w:ascii="Arial" w:cs="Arial" w:eastAsia="Arial" w:hAnsi="Arial"/>
          <w:b w:val="1"/>
          <w:color w:val="000000"/>
          <w:sz w:val="24"/>
          <w:szCs w:val="24"/>
          <w:rtl w:val="0"/>
        </w:rPr>
        <w:t xml:space="preserve">Awarding and creating a Call-Off Contract</w:t>
      </w:r>
      <w:r w:rsidDel="00000000" w:rsidR="00000000" w:rsidRPr="00000000">
        <w:rPr>
          <w:rtl w:val="0"/>
        </w:rPr>
      </w:r>
    </w:p>
    <w:p w:rsidR="00000000" w:rsidDel="00000000" w:rsidP="00000000" w:rsidRDefault="00000000" w:rsidRPr="00000000" w14:paraId="00000045">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bookmarkStart w:colFirst="0" w:colLast="0" w:name="_heading=h.3dy6vkm" w:id="6"/>
      <w:bookmarkEnd w:id="6"/>
      <w:r w:rsidDel="00000000" w:rsidR="00000000" w:rsidRPr="00000000">
        <w:rPr>
          <w:rFonts w:ascii="Arial" w:cs="Arial" w:eastAsia="Arial" w:hAnsi="Arial"/>
          <w:color w:val="000000"/>
          <w:sz w:val="24"/>
          <w:szCs w:val="24"/>
          <w:rtl w:val="0"/>
        </w:rPr>
        <w:t xml:space="preserve">Subject to Paragraphs 1 to 5 above and 7,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r w:rsidDel="00000000" w:rsidR="00000000" w:rsidRPr="00000000">
        <w:rPr>
          <w:rtl w:val="0"/>
        </w:rPr>
      </w:r>
    </w:p>
    <w:p w:rsidR="00000000" w:rsidDel="00000000" w:rsidP="00000000" w:rsidRDefault="00000000" w:rsidRPr="00000000" w14:paraId="00000046">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Parties agree that any document or communication (including any document or communication in the apparent form of a Call-Off Contract) which is not as described in this Paragraph 6 shall not constitute a Call-Off Contract under this Contract.</w:t>
      </w:r>
      <w:r w:rsidDel="00000000" w:rsidR="00000000" w:rsidRPr="00000000">
        <w:rPr>
          <w:rtl w:val="0"/>
        </w:rPr>
      </w:r>
    </w:p>
    <w:p w:rsidR="00000000" w:rsidDel="00000000" w:rsidP="00000000" w:rsidRDefault="00000000" w:rsidRPr="00000000" w14:paraId="00000047">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bookmarkStart w:colFirst="0" w:colLast="0" w:name="_heading=h.1t3h5sf" w:id="7"/>
      <w:bookmarkEnd w:id="7"/>
      <w:r w:rsidDel="00000000" w:rsidR="00000000" w:rsidRPr="00000000">
        <w:rPr>
          <w:rFonts w:ascii="Arial" w:cs="Arial" w:eastAsia="Arial" w:hAnsi="Arial"/>
          <w:color w:val="000000"/>
          <w:sz w:val="24"/>
          <w:szCs w:val="24"/>
          <w:rtl w:val="0"/>
        </w:rPr>
        <w:t xml:space="preserve">On receipt of an order form as described in Paragraph 6.1 from a Buyer the Supplier shall accept the Call-Off Contract by promptly signing and returning (including by electronic means) a copy of the order form to the Buyer concerned.</w:t>
      </w:r>
      <w:r w:rsidDel="00000000" w:rsidR="00000000" w:rsidRPr="00000000">
        <w:rPr>
          <w:rtl w:val="0"/>
        </w:rPr>
      </w:r>
    </w:p>
    <w:p w:rsidR="00000000" w:rsidDel="00000000" w:rsidP="00000000" w:rsidRDefault="00000000" w:rsidRPr="00000000" w14:paraId="00000048">
      <w:pPr>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r w:rsidDel="00000000" w:rsidR="00000000" w:rsidRPr="00000000">
        <w:rPr>
          <w:rtl w:val="0"/>
        </w:rPr>
      </w:r>
    </w:p>
    <w:p w:rsidR="00000000" w:rsidDel="00000000" w:rsidP="00000000" w:rsidRDefault="00000000" w:rsidRPr="00000000" w14:paraId="00000049">
      <w:pPr>
        <w:keepNext w:val="1"/>
        <w:widowControl w:val="1"/>
        <w:pBdr>
          <w:top w:space="0" w:sz="0" w:val="nil"/>
          <w:left w:space="0" w:sz="0" w:val="nil"/>
          <w:bottom w:space="0" w:sz="0" w:val="nil"/>
          <w:right w:space="0" w:sz="0" w:val="nil"/>
          <w:between w:space="0" w:sz="0" w:val="nil"/>
        </w:pBdr>
        <w:tabs>
          <w:tab w:val="left" w:pos="142"/>
        </w:tabs>
        <w:spacing w:after="240" w:before="12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keepNext w:val="1"/>
        <w:widowControl w:val="1"/>
        <w:numPr>
          <w:ilvl w:val="0"/>
          <w:numId w:val="2"/>
        </w:numPr>
        <w:pBdr>
          <w:top w:space="0" w:sz="0" w:val="nil"/>
          <w:left w:space="0" w:sz="0" w:val="nil"/>
          <w:bottom w:space="0" w:sz="0" w:val="nil"/>
          <w:right w:space="0" w:sz="0" w:val="nil"/>
          <w:between w:space="0" w:sz="0" w:val="nil"/>
        </w:pBdr>
        <w:tabs>
          <w:tab w:val="left" w:pos="142"/>
        </w:tabs>
        <w:spacing w:after="240" w:before="120" w:lineRule="auto"/>
        <w:ind w:left="360" w:hanging="360"/>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Awarding and creating an Exempt Call-off Contract</w:t>
      </w:r>
      <w:r w:rsidDel="00000000" w:rsidR="00000000" w:rsidRPr="00000000">
        <w:rPr>
          <w:rtl w:val="0"/>
        </w:rPr>
      </w:r>
    </w:p>
    <w:p w:rsidR="00000000" w:rsidDel="00000000" w:rsidP="00000000" w:rsidRDefault="00000000" w:rsidRPr="00000000" w14:paraId="0000004B">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Paragraph 1 above shall not apply to an Exempt Buyer.</w:t>
      </w:r>
      <w:r w:rsidDel="00000000" w:rsidR="00000000" w:rsidRPr="00000000">
        <w:rPr>
          <w:rtl w:val="0"/>
        </w:rPr>
      </w:r>
    </w:p>
    <w:p w:rsidR="00000000" w:rsidDel="00000000" w:rsidP="00000000" w:rsidRDefault="00000000" w:rsidRPr="00000000" w14:paraId="0000004C">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 If a potential Exempt Buyer decides to source Deliverables through this Framework Contract, it will award an Exempt Call-off Contract for Deliverables in accordance with the procedure in this Schedule as modified by this Paragraph 8 and in accordance with any legal requirements applicable to that potential Exempt Buyer.</w:t>
      </w:r>
      <w:r w:rsidDel="00000000" w:rsidR="00000000" w:rsidRPr="00000000">
        <w:rPr>
          <w:rtl w:val="0"/>
        </w:rPr>
      </w:r>
    </w:p>
    <w:p w:rsidR="00000000" w:rsidDel="00000000" w:rsidP="00000000" w:rsidRDefault="00000000" w:rsidRPr="00000000" w14:paraId="0000004D">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potential Exempt Buyer may award an Exempt Call-off Contract under this Framework Contract without holding a further competition in accordance with Paragraph 2 above as modified by Paragraph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.4 below or through a Further Competition Procedure in accordance with Paragraph 3 as modified by Paragraph 8.5 below.</w:t>
      </w:r>
      <w:r w:rsidDel="00000000" w:rsidR="00000000" w:rsidRPr="00000000">
        <w:rPr>
          <w:rtl w:val="0"/>
        </w:rPr>
      </w:r>
    </w:p>
    <w:p w:rsidR="00000000" w:rsidDel="00000000" w:rsidP="00000000" w:rsidRDefault="00000000" w:rsidRPr="00000000" w14:paraId="0000004E">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Notwithstanding the procedure set out in Paragraph 2 above, if the potential Exempt Buyer can determine that:</w:t>
      </w:r>
      <w:r w:rsidDel="00000000" w:rsidR="00000000" w:rsidRPr="00000000">
        <w:rPr>
          <w:rtl w:val="0"/>
        </w:rPr>
      </w:r>
    </w:p>
    <w:p w:rsidR="00000000" w:rsidDel="00000000" w:rsidP="00000000" w:rsidRDefault="00000000" w:rsidRPr="00000000" w14:paraId="0000004F">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its Deliverables can be met by the Supplier’s Prospectus and description of the Deliverables as set out in Framework Schedule 1 (Specification) and Framework Schedule 2 (Framework Tender); and</w:t>
      </w:r>
      <w:r w:rsidDel="00000000" w:rsidR="00000000" w:rsidRPr="00000000">
        <w:rPr>
          <w:rtl w:val="0"/>
        </w:rPr>
      </w:r>
    </w:p>
    <w:p w:rsidR="00000000" w:rsidDel="00000000" w:rsidP="00000000" w:rsidRDefault="00000000" w:rsidRPr="00000000" w14:paraId="00000050">
      <w:pPr>
        <w:widowControl w:val="1"/>
        <w:numPr>
          <w:ilvl w:val="2"/>
          <w:numId w:val="2"/>
        </w:numPr>
        <w:pBdr>
          <w:top w:space="0" w:sz="0" w:val="nil"/>
          <w:left w:space="0" w:sz="0" w:val="nil"/>
          <w:bottom w:space="0" w:sz="0" w:val="nil"/>
          <w:right w:space="0" w:sz="0" w:val="nil"/>
          <w:between w:space="0" w:sz="0" w:val="nil"/>
        </w:pBdr>
        <w:tabs>
          <w:tab w:val="left" w:pos="3641"/>
        </w:tabs>
        <w:spacing w:after="120" w:before="120" w:lineRule="auto"/>
        <w:ind w:left="2610" w:hanging="72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 will accept any required Exempt Procurement Amendments,</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tabs>
          <w:tab w:val="left" w:pos="3641"/>
        </w:tabs>
        <w:spacing w:after="120" w:before="120" w:lineRule="auto"/>
        <w:ind w:left="189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then the Exempt Buyer may award an Exempt Call-off Contract to that Supplier in accordance with Paragraph 6 above.</w:t>
      </w:r>
    </w:p>
    <w:p w:rsidR="00000000" w:rsidDel="00000000" w:rsidP="00000000" w:rsidRDefault="00000000" w:rsidRPr="00000000" w14:paraId="00000052">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If the potential Exempt Buyer requires the Supplier to develop proposals or a solution in respect of Deliverables, then the potential Exempt Buyer may at its discretion use the procedure set out in Paragraph 3 above as modified by this Paragraph 8.5.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r w:rsidDel="00000000" w:rsidR="00000000" w:rsidRPr="00000000">
        <w:rPr>
          <w:rtl w:val="0"/>
        </w:rPr>
      </w:r>
    </w:p>
    <w:p w:rsidR="00000000" w:rsidDel="00000000" w:rsidP="00000000" w:rsidRDefault="00000000" w:rsidRPr="00000000" w14:paraId="00000053">
      <w:pPr>
        <w:keepNext w:val="1"/>
        <w:widowControl w:val="1"/>
        <w:numPr>
          <w:ilvl w:val="1"/>
          <w:numId w:val="2"/>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bookmarkStart w:colFirst="0" w:colLast="0" w:name="_heading=h.3rdcrjn" w:id="8"/>
      <w:bookmarkEnd w:id="8"/>
      <w:r w:rsidDel="00000000" w:rsidR="00000000" w:rsidRPr="00000000">
        <w:rPr>
          <w:rFonts w:ascii="Arial" w:cs="Arial" w:eastAsia="Arial" w:hAnsi="Arial"/>
          <w:color w:val="000000"/>
          <w:sz w:val="24"/>
          <w:szCs w:val="24"/>
          <w:rtl w:val="0"/>
        </w:rPr>
        <w:t xml:space="preserve">Paragraphs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.1 to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.5 above are without prejudice to an Exempt Buyer’s ability to make such further modifications to the Call-Off Procedure as it considers necessary and in accordance with any legal requirements applicable to that potential Exempt Buyer.</w:t>
      </w: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tabs>
          <w:tab w:val="left" w:pos="3054"/>
        </w:tabs>
        <w:spacing w:after="120" w:before="120" w:lineRule="auto"/>
        <w:ind w:left="936" w:hanging="576"/>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tabs>
          <w:tab w:val="left" w:pos="3054"/>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 2: Award Criteria</w:t>
      </w:r>
      <w:r w:rsidDel="00000000" w:rsidR="00000000" w:rsidRPr="00000000">
        <w:rPr>
          <w:rtl w:val="0"/>
        </w:rPr>
      </w:r>
    </w:p>
    <w:p w:rsidR="00000000" w:rsidDel="00000000" w:rsidP="00000000" w:rsidRDefault="00000000" w:rsidRPr="00000000" w14:paraId="00000057">
      <w:pPr>
        <w:widowControl w:val="1"/>
        <w:numPr>
          <w:ilvl w:val="0"/>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This Part 2 lays out award criteria for direct award (Annex A) and for further competition (Annex B) in accordance with the Call-Off Procedure.</w:t>
      </w:r>
      <w:r w:rsidDel="00000000" w:rsidR="00000000" w:rsidRPr="00000000">
        <w:rPr>
          <w:rtl w:val="0"/>
        </w:rPr>
      </w:r>
    </w:p>
    <w:p w:rsidR="00000000" w:rsidDel="00000000" w:rsidP="00000000" w:rsidRDefault="00000000" w:rsidRPr="00000000" w14:paraId="00000058">
      <w:pPr>
        <w:widowControl w:val="1"/>
        <w:numPr>
          <w:ilvl w:val="0"/>
          <w:numId w:val="1"/>
        </w:numPr>
        <w:pBdr>
          <w:top w:space="0" w:sz="0" w:val="nil"/>
          <w:left w:space="0" w:sz="0" w:val="nil"/>
          <w:bottom w:space="0" w:sz="0" w:val="nil"/>
          <w:right w:space="0" w:sz="0" w:val="nil"/>
          <w:between w:space="0" w:sz="0" w:val="nil"/>
        </w:pBdr>
        <w:tabs>
          <w:tab w:val="left" w:pos="3054"/>
        </w:tabs>
        <w:spacing w:after="120" w:before="120" w:lineRule="auto"/>
        <w:ind w:left="108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Call-Off Contract may be awarded on the basis of most economically advantageous tender ("MEAT").</w:t>
      </w:r>
      <w:r w:rsidDel="00000000" w:rsidR="00000000" w:rsidRPr="00000000">
        <w:rPr>
          <w:rtl w:val="0"/>
        </w:rPr>
      </w:r>
    </w:p>
    <w:p w:rsidR="00000000" w:rsidDel="00000000" w:rsidP="00000000" w:rsidRDefault="00000000" w:rsidRPr="00000000" w14:paraId="00000059">
      <w:pPr>
        <w:rPr>
          <w:rFonts w:ascii="Arial" w:cs="Arial" w:eastAsia="Arial" w:hAnsi="Arial"/>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keepNext w:val="1"/>
        <w:widowControl w:val="1"/>
        <w:pBdr>
          <w:top w:space="0" w:sz="0" w:val="nil"/>
          <w:left w:space="0" w:sz="0" w:val="nil"/>
          <w:bottom w:space="0" w:sz="0" w:val="nil"/>
          <w:right w:space="0" w:sz="0" w:val="nil"/>
          <w:between w:space="0" w:sz="0" w:val="nil"/>
        </w:pBdr>
        <w:spacing w:after="240" w:before="240" w:lineRule="auto"/>
        <w:ind w:firstLine="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A: Direct award criteria</w:t>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criteria and weightings shall apply to the evaluation for direct award of each Call-Off.</w:t>
      </w:r>
    </w:p>
    <w:tbl>
      <w:tblPr>
        <w:tblStyle w:val="Table1"/>
        <w:tblW w:w="945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5670"/>
        <w:tblGridChange w:id="0">
          <w:tblGrid>
            <w:gridCol w:w="3780"/>
            <w:gridCol w:w="5670"/>
          </w:tblGrid>
        </w:tblGridChange>
      </w:tblGrid>
      <w:tr>
        <w:tc>
          <w:tcPr>
            <w:shd w:fill="e7e6e6" w:val="clear"/>
          </w:tcPr>
          <w:p w:rsidR="00000000" w:rsidDel="00000000" w:rsidP="00000000" w:rsidRDefault="00000000" w:rsidRPr="00000000" w14:paraId="0000005C">
            <w:pPr>
              <w:keepNext w:val="1"/>
              <w:widowControl w:val="1"/>
              <w:pBdr>
                <w:top w:space="0" w:sz="0" w:val="nil"/>
                <w:left w:space="0" w:sz="0" w:val="nil"/>
                <w:bottom w:space="0" w:sz="0" w:val="nil"/>
                <w:right w:space="0" w:sz="0" w:val="nil"/>
                <w:between w:space="0" w:sz="0" w:val="nil"/>
              </w:pBdr>
              <w:spacing w:after="120" w:before="120" w:lineRule="auto"/>
              <w:ind w:left="142"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Criteria </w:t>
            </w:r>
          </w:p>
        </w:tc>
        <w:tc>
          <w:tcPr>
            <w:shd w:fill="e7e6e6" w:val="clear"/>
          </w:tcPr>
          <w:p w:rsidR="00000000" w:rsidDel="00000000" w:rsidP="00000000" w:rsidRDefault="00000000" w:rsidRPr="00000000" w14:paraId="0000005D">
            <w:pPr>
              <w:widowControl w:val="1"/>
              <w:spacing w:after="200" w:before="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 </w:t>
            </w:r>
          </w:p>
          <w:p w:rsidR="00000000" w:rsidDel="00000000" w:rsidP="00000000" w:rsidRDefault="00000000" w:rsidRPr="00000000" w14:paraId="0000005E">
            <w:pPr>
              <w:widowControl w:val="1"/>
              <w:spacing w:after="200" w:line="276" w:lineRule="auto"/>
              <w:rPr>
                <w:rFonts w:ascii="Arial" w:cs="Arial" w:eastAsia="Arial" w:hAnsi="Arial"/>
                <w:b w:val="1"/>
                <w:sz w:val="24"/>
                <w:szCs w:val="24"/>
              </w:rPr>
            </w:pPr>
            <w:r w:rsidDel="00000000" w:rsidR="00000000" w:rsidRPr="00000000">
              <w:rPr>
                <w:rtl w:val="0"/>
              </w:rPr>
            </w:r>
          </w:p>
        </w:tc>
      </w:tr>
      <w:tr>
        <w:tc>
          <w:tcPr>
            <w:gridSpan w:val="2"/>
          </w:tcPr>
          <w:p w:rsidR="00000000" w:rsidDel="00000000" w:rsidP="00000000" w:rsidRDefault="00000000" w:rsidRPr="00000000" w14:paraId="0000005F">
            <w:pPr>
              <w:keepNext w:val="1"/>
              <w:widowControl w:val="1"/>
              <w:spacing w:after="240" w:before="240" w:lineRule="auto"/>
              <w:ind w:left="18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Value for money: e.g. the Buyer believes that the Supplier provides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demonstrable value for money, which may include but is not limited to:</w:t>
            </w:r>
          </w:p>
          <w:p w:rsidR="00000000" w:rsidDel="00000000" w:rsidP="00000000" w:rsidRDefault="00000000" w:rsidRPr="00000000" w14:paraId="00000060">
            <w:pPr>
              <w:keepNext w:val="1"/>
              <w:widowControl w:val="1"/>
              <w:spacing w:after="240" w:before="240" w:lineRule="auto"/>
              <w:ind w:left="54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highlight w:val="white"/>
                <w:rtl w:val="0"/>
              </w:rPr>
              <w:t xml:space="preserve">Price; (20% to 100%)</w:t>
            </w:r>
          </w:p>
          <w:p w:rsidR="00000000" w:rsidDel="00000000" w:rsidP="00000000" w:rsidRDefault="00000000" w:rsidRPr="00000000" w14:paraId="00000061">
            <w:pPr>
              <w:keepNext w:val="1"/>
              <w:widowControl w:val="1"/>
              <w:spacing w:after="240" w:before="240" w:lineRule="auto"/>
              <w:ind w:left="540"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highlight w:val="white"/>
                <w:rtl w:val="0"/>
              </w:rPr>
              <w:t xml:space="preserve">Quality including cost effectiveness of solution; (0% to 80%)</w:t>
            </w:r>
          </w:p>
          <w:p w:rsidR="00000000" w:rsidDel="00000000" w:rsidP="00000000" w:rsidRDefault="00000000" w:rsidRPr="00000000" w14:paraId="00000062">
            <w:pPr>
              <w:keepNext w:val="1"/>
              <w:widowControl w:val="1"/>
              <w:spacing w:after="240" w:before="240" w:lineRule="auto"/>
              <w:ind w:left="283.46456692913375" w:firstLine="0"/>
              <w:jc w:val="both"/>
              <w:rPr>
                <w:rFonts w:ascii="Arial" w:cs="Arial" w:eastAsia="Arial" w:hAnsi="Arial"/>
                <w:sz w:val="24"/>
                <w:szCs w:val="24"/>
                <w:highlight w:val="white"/>
              </w:rPr>
            </w:pPr>
            <w:r w:rsidDel="00000000" w:rsidR="00000000" w:rsidRPr="00000000">
              <w:rPr>
                <w:rFonts w:ascii="Arial" w:cs="Arial" w:eastAsia="Arial" w:hAnsi="Arial"/>
                <w:i w:val="1"/>
                <w:highlight w:val="white"/>
                <w:rtl w:val="0"/>
              </w:rPr>
              <w:t xml:space="preserve">In keeping with PPN 06/20, the Buyer should agree with the Supplier what they can and will do to help work towards the social value priorities set out in the Framework Schedule 1(Specification).  Rather than setting targets for the Supplier, Buyers should discuss with them what would be an appropriate and proportionate commitment, and this commitment will form part of the Call-off Contract.  Buyers would then evaluate the Supplier’s performance against this commitment as part of ongoing contract management.</w:t>
            </w:r>
            <w:r w:rsidDel="00000000" w:rsidR="00000000" w:rsidRPr="00000000">
              <w:rPr>
                <w:rtl w:val="0"/>
              </w:rPr>
            </w:r>
          </w:p>
          <w:p w:rsidR="00000000" w:rsidDel="00000000" w:rsidP="00000000" w:rsidRDefault="00000000" w:rsidRPr="00000000" w14:paraId="00000063">
            <w:pPr>
              <w:keepNext w:val="1"/>
              <w:widowControl w:val="1"/>
              <w:pBdr>
                <w:top w:space="0" w:sz="0" w:val="nil"/>
                <w:left w:space="0" w:sz="0" w:val="nil"/>
                <w:bottom w:space="0" w:sz="0" w:val="nil"/>
                <w:right w:space="0" w:sz="0" w:val="nil"/>
                <w:between w:space="0" w:sz="0" w:val="nil"/>
              </w:pBdr>
              <w:spacing w:after="120" w:before="240" w:lineRule="auto"/>
              <w:ind w:left="1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ind w:left="176" w:hanging="360"/>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ind w:left="1080" w:firstLine="0"/>
        <w:jc w:val="both"/>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67">
      <w:pPr>
        <w:keepNext w:val="1"/>
        <w:widowControl w:val="1"/>
        <w:pBdr>
          <w:top w:space="0" w:sz="0" w:val="nil"/>
          <w:left w:space="0" w:sz="0" w:val="nil"/>
          <w:bottom w:space="0" w:sz="0" w:val="nil"/>
          <w:right w:space="0" w:sz="0" w:val="nil"/>
          <w:between w:space="0" w:sz="0" w:val="nil"/>
        </w:pBdr>
        <w:spacing w:after="240" w:before="240" w:lineRule="auto"/>
        <w:rPr>
          <w:rFonts w:ascii="Arial" w:cs="Arial" w:eastAsia="Arial" w:hAnsi="Arial"/>
          <w:b w:val="1"/>
          <w:color w:val="000000"/>
          <w:sz w:val="24"/>
          <w:szCs w:val="24"/>
        </w:rPr>
      </w:pPr>
      <w:r w:rsidDel="00000000" w:rsidR="00000000" w:rsidRPr="00000000">
        <w:br w:type="page"/>
      </w:r>
      <w:r w:rsidDel="00000000" w:rsidR="00000000" w:rsidRPr="00000000">
        <w:rPr>
          <w:rFonts w:ascii="Arial" w:cs="Arial" w:eastAsia="Arial" w:hAnsi="Arial"/>
          <w:b w:val="1"/>
          <w:color w:val="000000"/>
          <w:sz w:val="24"/>
          <w:szCs w:val="24"/>
          <w:rtl w:val="0"/>
        </w:rPr>
        <w:t xml:space="preserve">Annex B: Further Competition Award Criteria</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criteria and weightings shall apply to the evaluation of tenders received through the Further Competition Procedure:</w:t>
      </w:r>
    </w:p>
    <w:tbl>
      <w:tblPr>
        <w:tblStyle w:val="Table2"/>
        <w:tblW w:w="8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4154"/>
        <w:gridCol w:w="3051"/>
        <w:tblGridChange w:id="0">
          <w:tblGrid>
            <w:gridCol w:w="1271"/>
            <w:gridCol w:w="4154"/>
            <w:gridCol w:w="3051"/>
          </w:tblGrid>
        </w:tblGridChange>
      </w:tblGrid>
      <w:tr>
        <w:tc>
          <w:tcPr>
            <w:shd w:fill="e7e6e6" w:val="clear"/>
          </w:tcPr>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tabs>
                <w:tab w:val="left" w:pos="851"/>
              </w:tabs>
              <w:spacing w:after="120" w:before="12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Criteria</w:t>
            </w:r>
            <w:r w:rsidDel="00000000" w:rsidR="00000000" w:rsidRPr="00000000">
              <w:rPr>
                <w:rtl w:val="0"/>
              </w:rPr>
            </w:r>
          </w:p>
        </w:tc>
        <w:tc>
          <w:tcPr>
            <w:shd w:fill="e7e6e6" w:val="clear"/>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tabs>
                <w:tab w:val="left" w:pos="851"/>
              </w:tabs>
              <w:spacing w:after="120" w:before="12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Percentage Weightings - to be set by the Customer conducting the Further Competition Procedure</w:t>
            </w:r>
          </w:p>
        </w:tc>
        <w:tc>
          <w:tcPr>
            <w:shd w:fill="e7e6e6" w:val="clear"/>
          </w:tcPr>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Allowable Variance </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tabs>
                <w:tab w:val="left" w:pos="851"/>
              </w:tabs>
              <w:spacing w:after="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(This may be modified by the Customer within the range below)</w:t>
            </w: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Quality </w:t>
            </w:r>
          </w:p>
        </w:tc>
        <w:tc>
          <w:tcPr/>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variance</w:t>
              <w:br w:type="textWrapping"/>
              <w:t xml:space="preserve">(50% - 70%)</w:t>
            </w:r>
          </w:p>
        </w:tc>
      </w:tr>
      <w:tr>
        <w:tc>
          <w:tcPr/>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Price </w:t>
            </w:r>
          </w:p>
        </w:tc>
        <w:tc>
          <w:tcPr/>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variance</w:t>
              <w:br w:type="textWrapping"/>
              <w:t xml:space="preserve">(20% to 40%)</w:t>
            </w:r>
          </w:p>
        </w:tc>
      </w:tr>
      <w:tr>
        <w:tc>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tabs>
                <w:tab w:val="left" w:pos="851"/>
              </w:tabs>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variation</w:t>
            </w:r>
          </w:p>
        </w:tc>
      </w:tr>
    </w:tbl>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jc w:val="both"/>
        <w:rPr>
          <w:rFonts w:ascii="Arial" w:cs="Arial" w:eastAsia="Arial" w:hAnsi="Arial"/>
          <w:color w:val="ffffff"/>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rPr>
        <w:rFonts w:ascii="Arial" w:cs="Arial" w:eastAsia="Arial" w:hAnsi="Arial"/>
        <w:sz w:val="20"/>
        <w:szCs w:val="20"/>
      </w:rPr>
    </w:pPr>
    <w:bookmarkStart w:colFirst="0" w:colLast="0" w:name="_heading=h.gjdgxs" w:id="9"/>
    <w:bookmarkEnd w:id="9"/>
    <w:r w:rsidDel="00000000" w:rsidR="00000000" w:rsidRPr="00000000">
      <w:rPr>
        <w:rFonts w:ascii="Arial" w:cs="Arial" w:eastAsia="Arial" w:hAnsi="Arial"/>
        <w:sz w:val="20"/>
        <w:szCs w:val="20"/>
        <w:rtl w:val="0"/>
      </w:rPr>
      <w:t xml:space="preserve">Framework Ref: RM6255 Voucher Schemes</w:t>
      <w:tab/>
      <w:t xml:space="preserve">                                           </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tabs>
        <w:tab w:val="center" w:pos="4513"/>
        <w:tab w:val="right" w:pos="9026"/>
      </w:tabs>
      <w:jc w:val="both"/>
      <w:rPr>
        <w:color w:val="000000"/>
      </w:rPr>
    </w:pPr>
    <w:r w:rsidDel="00000000" w:rsidR="00000000" w:rsidRPr="00000000">
      <w:rPr>
        <w:rtl w:val="0"/>
      </w:rPr>
    </w:r>
  </w:p>
  <w:p w:rsidR="00000000" w:rsidDel="00000000" w:rsidP="00000000" w:rsidRDefault="00000000" w:rsidRPr="00000000" w14:paraId="00000082">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r>
  </w:p>
  <w:p w:rsidR="00000000" w:rsidDel="00000000" w:rsidP="00000000" w:rsidRDefault="00000000" w:rsidRPr="00000000" w14:paraId="00000083">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Framework Schedule 7 (Call-Off Award Procedure)</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2018</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tabs>
        <w:tab w:val="center" w:pos="4513"/>
        <w:tab w:val="right" w:pos="9026"/>
      </w:tabs>
      <w:jc w:val="both"/>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Framework Schedule 7 (Call-Off Award Procedure)</w:t>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tabs>
        <w:tab w:val="center" w:pos="4513"/>
        <w:tab w:val="right" w:pos="902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2021</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2">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2FD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tandard" w:customStyle="1">
    <w:name w:val="Standard"/>
    <w:pPr>
      <w:widowControl w:val="1"/>
      <w:spacing w:after="240"/>
      <w:jc w:val="both"/>
    </w:pPr>
    <w:rPr>
      <w:rFonts w:cs="Arial" w:eastAsia="Times New Roman"/>
    </w:rPr>
  </w:style>
  <w:style w:type="paragraph" w:styleId="Heading" w:customStyle="1">
    <w:name w:val="Heading"/>
    <w:basedOn w:val="Standard"/>
    <w:next w:val="Textbody"/>
    <w:pPr>
      <w:keepNext w:val="1"/>
      <w:spacing w:after="120" w:before="240"/>
    </w:pPr>
    <w:rPr>
      <w:rFonts w:ascii="Liberation Sans" w:cs="Arial Unicode MS" w:eastAsia="Arial Unicode MS" w:hAnsi="Liberation Sans"/>
      <w:sz w:val="28"/>
      <w:szCs w:val="28"/>
    </w:rPr>
  </w:style>
  <w:style w:type="paragraph" w:styleId="Textbody" w:customStyle="1">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styleId="MarginText" w:customStyle="1">
    <w:name w:val="Margin Text"/>
    <w:basedOn w:val="Standard"/>
    <w:pPr>
      <w:keepNext w:val="1"/>
      <w:overflowPunct w:val="0"/>
      <w:spacing w:after="120" w:before="240"/>
      <w:ind w:left="142"/>
    </w:pPr>
    <w:rPr>
      <w:rFonts w:cs="Times New Roman" w:eastAsia="STZhongsong"/>
      <w:szCs w:val="18"/>
      <w:lang w:eastAsia="zh-CN"/>
    </w:rPr>
  </w:style>
  <w:style w:type="paragraph" w:styleId="GPSL1CLAUSEHEADING" w:customStyle="1">
    <w:name w:val="GPS L1 CLAUSE HEADING"/>
    <w:basedOn w:val="Standard"/>
    <w:next w:val="Standard"/>
    <w:pPr>
      <w:tabs>
        <w:tab w:val="left" w:pos="142"/>
      </w:tabs>
      <w:overflowPunct w:val="0"/>
      <w:spacing w:before="120"/>
      <w:outlineLvl w:val="1"/>
    </w:pPr>
    <w:rPr>
      <w:rFonts w:eastAsia="STZhongsong"/>
      <w:b w:val="1"/>
      <w:caps w:val="1"/>
      <w:lang w:eastAsia="zh-CN"/>
    </w:rPr>
  </w:style>
  <w:style w:type="paragraph" w:styleId="GPSL3numberedclause" w:customStyle="1">
    <w:name w:val="GPS L3 numbered clause"/>
    <w:basedOn w:val="Standard"/>
    <w:pPr>
      <w:tabs>
        <w:tab w:val="left" w:pos="3641"/>
      </w:tabs>
      <w:overflowPunct w:val="0"/>
      <w:spacing w:after="120" w:before="120"/>
      <w:ind w:left="1656"/>
    </w:pPr>
    <w:rPr>
      <w:lang w:eastAsia="zh-CN"/>
    </w:rPr>
  </w:style>
  <w:style w:type="paragraph" w:styleId="GPSL4numberedclause" w:customStyle="1">
    <w:name w:val="GPS L4 numbered clause"/>
    <w:basedOn w:val="GPSL3numberedclause"/>
    <w:pPr>
      <w:tabs>
        <w:tab w:val="clear" w:pos="3641"/>
      </w:tabs>
      <w:ind w:left="2592" w:hanging="936"/>
    </w:pPr>
  </w:style>
  <w:style w:type="paragraph" w:styleId="GPSL5numberedclause" w:customStyle="1">
    <w:name w:val="GPS L5 numbered clause"/>
    <w:basedOn w:val="GPSL4numberedclause"/>
    <w:pPr>
      <w:tabs>
        <w:tab w:val="left" w:pos="6238"/>
      </w:tabs>
      <w:ind w:left="3119" w:hanging="567"/>
    </w:pPr>
  </w:style>
  <w:style w:type="paragraph" w:styleId="GPSL2NumberedBoldHeading" w:customStyle="1">
    <w:name w:val="GPS L2 Numbered Bold Heading"/>
    <w:basedOn w:val="Standard"/>
    <w:pPr>
      <w:tabs>
        <w:tab w:val="left" w:pos="3054"/>
      </w:tabs>
      <w:overflowPunct w:val="0"/>
      <w:spacing w:after="120" w:before="120"/>
      <w:ind w:left="1920"/>
    </w:pPr>
    <w:rPr>
      <w:b w:val="1"/>
      <w:lang w:eastAsia="zh-CN"/>
    </w:rPr>
  </w:style>
  <w:style w:type="paragraph" w:styleId="GPSL6numbered" w:customStyle="1">
    <w:name w:val="GPS L6 numbered"/>
    <w:basedOn w:val="GPSL5numberedclause"/>
    <w:pPr>
      <w:tabs>
        <w:tab w:val="clear" w:pos="6238"/>
        <w:tab w:val="left" w:pos="4046"/>
        <w:tab w:val="left" w:pos="7372"/>
      </w:tabs>
      <w:ind w:left="3686"/>
    </w:pPr>
  </w:style>
  <w:style w:type="paragraph" w:styleId="GPSL1Guidance" w:customStyle="1">
    <w:name w:val="GPS L1 Guidance"/>
    <w:basedOn w:val="Standard"/>
    <w:pPr>
      <w:spacing w:after="120" w:before="240"/>
      <w:ind w:left="426"/>
    </w:pPr>
    <w:rPr>
      <w:b w:val="1"/>
      <w:i w:val="1"/>
    </w:rPr>
  </w:style>
  <w:style w:type="paragraph" w:styleId="GPSL1SCHEDULEHeading" w:customStyle="1">
    <w:name w:val="GPS L1 SCHEDULE Heading"/>
    <w:basedOn w:val="GPSL1CLAUSEHEADING"/>
    <w:pPr>
      <w:tabs>
        <w:tab w:val="clear" w:pos="142"/>
      </w:tabs>
    </w:pPr>
  </w:style>
  <w:style w:type="paragraph" w:styleId="GPSmacrorestart" w:customStyle="1">
    <w:name w:val="GPS macro restart"/>
    <w:basedOn w:val="Standard"/>
    <w:qFormat w:val="1"/>
    <w:pPr>
      <w:spacing w:after="0"/>
    </w:pPr>
    <w:rPr>
      <w:color w:val="ffffff"/>
      <w:sz w:val="16"/>
      <w:szCs w:val="16"/>
    </w:rPr>
  </w:style>
  <w:style w:type="paragraph" w:styleId="GPSSchTitleandNumber" w:customStyle="1">
    <w:name w:val="GPS Sch Title and Number"/>
    <w:basedOn w:val="Standard"/>
    <w:pPr>
      <w:keepNext w:val="1"/>
      <w:overflowPunct w:val="0"/>
      <w:ind w:firstLine="426"/>
      <w:jc w:val="center"/>
      <w:outlineLvl w:val="0"/>
    </w:pPr>
    <w:rPr>
      <w:rFonts w:ascii="Arial Bold" w:cs="Times New Roman" w:eastAsia="STZhongsong" w:hAnsi="Arial Bold"/>
      <w:b w:val="1"/>
      <w:caps w:val="1"/>
      <w:lang w:eastAsia="zh-CN"/>
    </w:rPr>
  </w:style>
  <w:style w:type="paragraph" w:styleId="GPSSchPart" w:customStyle="1">
    <w:name w:val="GPS Sch Part"/>
    <w:basedOn w:val="Standard"/>
    <w:qFormat w:val="1"/>
    <w:pPr>
      <w:keepNext w:val="1"/>
      <w:overflowPunct w:val="0"/>
      <w:spacing w:before="240"/>
      <w:ind w:firstLine="426"/>
      <w:jc w:val="center"/>
    </w:pPr>
    <w:rPr>
      <w:rFonts w:ascii="Arial Bold" w:cs="Times New Roman" w:eastAsia="STZhongsong" w:hAnsi="Arial Bold"/>
      <w:b w:val="1"/>
      <w:caps w:val="1"/>
      <w:lang w:eastAsia="zh-CN"/>
    </w:rPr>
  </w:style>
  <w:style w:type="paragraph" w:styleId="GPSL2Numbered" w:customStyle="1">
    <w:name w:val="GPS L2 Numbered"/>
    <w:basedOn w:val="GPSL2NumberedBoldHeading"/>
    <w:pPr>
      <w:tabs>
        <w:tab w:val="clear" w:pos="3054"/>
      </w:tabs>
      <w:ind w:left="936" w:hanging="576"/>
    </w:pPr>
    <w:rPr>
      <w:b w:val="0"/>
    </w:rPr>
  </w:style>
  <w:style w:type="paragraph" w:styleId="GPSL1Schedulenumbered" w:customStyle="1">
    <w:name w:val="GPS L1 Schedule numbered"/>
    <w:basedOn w:val="Standard"/>
    <w:qFormat w:val="1"/>
    <w:pPr>
      <w:tabs>
        <w:tab w:val="left" w:pos="851"/>
      </w:tabs>
    </w:pPr>
  </w:style>
  <w:style w:type="paragraph" w:styleId="BalloonText">
    <w:name w:val="Balloon Text"/>
    <w:basedOn w:val="Standard"/>
    <w:pPr>
      <w:spacing w:after="0"/>
    </w:pPr>
    <w:rPr>
      <w:rFonts w:ascii="Tahoma" w:cs="Tahoma" w:eastAsia="Tahoma" w:hAnsi="Tahoma"/>
      <w:sz w:val="16"/>
      <w:szCs w:val="16"/>
    </w:rPr>
  </w:style>
  <w:style w:type="paragraph" w:styleId="GPSL2Guidance" w:customStyle="1">
    <w:name w:val="GPS L2 Guidance"/>
    <w:basedOn w:val="Standard"/>
    <w:pPr>
      <w:tabs>
        <w:tab w:val="left" w:pos="2268"/>
      </w:tabs>
      <w:overflowPunct w:val="0"/>
      <w:spacing w:after="120" w:before="120"/>
      <w:ind w:left="1134"/>
    </w:pPr>
    <w:rPr>
      <w:b w:val="1"/>
      <w:i w:val="1"/>
      <w:lang w:eastAsia="zh-CN"/>
    </w:rPr>
  </w:style>
  <w:style w:type="paragraph" w:styleId="GPSL2Indent" w:customStyle="1">
    <w:name w:val="GPS L2 Indent"/>
    <w:basedOn w:val="Standard"/>
    <w:pPr>
      <w:tabs>
        <w:tab w:val="left" w:pos="4536"/>
      </w:tabs>
      <w:spacing w:after="220"/>
      <w:ind w:left="1134"/>
    </w:pPr>
    <w:rPr>
      <w:szCs w:val="24"/>
    </w:rPr>
  </w:style>
  <w:style w:type="paragraph" w:styleId="GPSL4Guidance" w:customStyle="1">
    <w:name w:val="GPS L4 Guidance"/>
    <w:basedOn w:val="Standard"/>
    <w:pPr>
      <w:tabs>
        <w:tab w:val="left" w:pos="3970"/>
      </w:tabs>
      <w:overflowPunct w:val="0"/>
      <w:spacing w:after="120" w:before="120"/>
      <w:ind w:left="1985"/>
    </w:pPr>
    <w:rPr>
      <w:b w:val="1"/>
      <w:i w:val="1"/>
      <w:lang w:eastAsia="zh-CN"/>
    </w:rPr>
  </w:style>
  <w:style w:type="paragraph" w:styleId="GPSL2non-numberboldheading" w:customStyle="1">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character" w:styleId="HeaderChar" w:customStyle="1">
    <w:name w:val="Header Char"/>
    <w:basedOn w:val="DefaultParagraphFont"/>
  </w:style>
  <w:style w:type="character" w:styleId="FooterChar" w:customStyle="1">
    <w:name w:val="Footer Char"/>
    <w:basedOn w:val="DefaultParagraphFont"/>
    <w:uiPriority w:val="99"/>
  </w:style>
  <w:style w:type="character" w:styleId="Emphasis">
    <w:name w:val="Emphasis"/>
    <w:basedOn w:val="DefaultParagraphFont"/>
    <w:rPr>
      <w:i w:val="1"/>
      <w:iCs w:val="1"/>
    </w:rPr>
  </w:style>
  <w:style w:type="character" w:styleId="MarginTextChar" w:customStyle="1">
    <w:name w:val="Margin Text Char"/>
    <w:rPr>
      <w:rFonts w:ascii="Calibri" w:cs="Times New Roman" w:eastAsia="STZhongsong" w:hAnsi="Calibri"/>
      <w:szCs w:val="18"/>
      <w:lang w:eastAsia="zh-CN"/>
    </w:rPr>
  </w:style>
  <w:style w:type="character" w:styleId="GPSL2NumberedChar" w:customStyle="1">
    <w:name w:val="GPS L2 Numbered Char"/>
    <w:rPr>
      <w:rFonts w:ascii="Calibri" w:cs="Arial" w:eastAsia="Times New Roman" w:hAnsi="Calibri"/>
      <w:lang w:eastAsia="zh-CN"/>
    </w:rPr>
  </w:style>
  <w:style w:type="character" w:styleId="GPSL1SCHEDULEHeadingChar" w:customStyle="1">
    <w:name w:val="GPS L1 SCHEDULE Heading Char"/>
    <w:rPr>
      <w:rFonts w:ascii="Calibri" w:cs="Arial" w:eastAsia="STZhongsong" w:hAnsi="Calibri"/>
      <w:b w:val="1"/>
      <w:caps w:val="1"/>
      <w:lang w:eastAsia="zh-CN"/>
    </w:rPr>
  </w:style>
  <w:style w:type="character" w:styleId="GPSL1SchedulenumberedChar1" w:customStyle="1">
    <w:name w:val="GPS L1 Schedule numbered Char1"/>
    <w:rPr>
      <w:rFonts w:ascii="Calibri" w:cs="Arial" w:eastAsia="Times New Roman" w:hAnsi="Calibri"/>
    </w:rPr>
  </w:style>
  <w:style w:type="character" w:styleId="GPSL1GuidanceChar" w:customStyle="1">
    <w:name w:val="GPS L1 Guidance Char"/>
    <w:rPr>
      <w:rFonts w:ascii="Calibri" w:cs="Arial" w:eastAsia="Times New Roman" w:hAnsi="Calibri"/>
      <w:b w:val="1"/>
      <w:i w:val="1"/>
    </w:rPr>
  </w:style>
  <w:style w:type="character" w:styleId="GPSSchTitleandNumberChar" w:customStyle="1">
    <w:name w:val="GPS Sch Title and Number Char"/>
    <w:rPr>
      <w:rFonts w:ascii="Arial Bold" w:cs="Times New Roman" w:eastAsia="STZhongsong" w:hAnsi="Arial Bold"/>
      <w:b w:val="1"/>
      <w:caps w:val="1"/>
      <w:lang w:eastAsia="zh-CN"/>
    </w:rPr>
  </w:style>
  <w:style w:type="character" w:styleId="GPSSchPartChar" w:customStyle="1">
    <w:name w:val="GPS Sch Part Char"/>
    <w:rPr>
      <w:rFonts w:ascii="Arial Bold" w:cs="Times New Roman" w:eastAsia="STZhongsong" w:hAnsi="Arial Bold"/>
      <w:b w:val="1"/>
      <w:caps w:val="1"/>
      <w:lang w:eastAsia="zh-CN"/>
    </w:rPr>
  </w:style>
  <w:style w:type="character" w:styleId="BalloonTextChar" w:customStyle="1">
    <w:name w:val="Balloon Text Char"/>
    <w:basedOn w:val="DefaultParagraphFont"/>
    <w:rPr>
      <w:rFonts w:ascii="Tahoma" w:cs="Tahoma" w:eastAsia="Times New Roman" w:hAnsi="Tahoma"/>
      <w:sz w:val="16"/>
      <w:szCs w:val="16"/>
    </w:rPr>
  </w:style>
  <w:style w:type="character" w:styleId="GPSL4numberedclauseChar" w:customStyle="1">
    <w:name w:val="GPS L4 numbered clause Char"/>
    <w:rPr>
      <w:rFonts w:ascii="Calibri" w:cs="Arial" w:eastAsia="Times New Roman" w:hAnsi="Calibri"/>
      <w:lang w:eastAsia="zh-CN"/>
    </w:rPr>
  </w:style>
  <w:style w:type="character" w:styleId="GPSL3numberedclauseChar" w:customStyle="1">
    <w:name w:val="GPS L3 numbered clause Char"/>
    <w:rPr>
      <w:rFonts w:ascii="Calibri" w:cs="Arial" w:eastAsia="Times New Roman" w:hAnsi="Calibri"/>
      <w:lang w:eastAsia="zh-CN"/>
    </w:rPr>
  </w:style>
  <w:style w:type="character" w:styleId="GPSL5numberedclauseChar" w:customStyle="1">
    <w:name w:val="GPS L5 numbered clause Char"/>
    <w:rPr>
      <w:rFonts w:ascii="Calibri" w:cs="Arial" w:eastAsia="Times New Roman" w:hAnsi="Calibri"/>
      <w:lang w:eastAsia="zh-CN"/>
    </w:rPr>
  </w:style>
  <w:style w:type="character" w:styleId="GPSL4GuidanceChar" w:customStyle="1">
    <w:name w:val="GPS L4 Guidance Char"/>
    <w:rPr>
      <w:rFonts w:ascii="Calibri" w:cs="Arial" w:eastAsia="Times New Roman" w:hAnsi="Calibri"/>
      <w:b w:val="1"/>
      <w:i w:val="1"/>
      <w:lang w:eastAsia="zh-CN"/>
    </w:rPr>
  </w:style>
  <w:style w:type="character" w:styleId="GPSL2non-numberboldheadingChar" w:customStyle="1">
    <w:name w:val="GPS L2 non-number bold heading Char"/>
    <w:rPr>
      <w:rFonts w:ascii="Calibri" w:cs="Arial" w:eastAsia="Times New Roman" w:hAnsi="Calibri"/>
      <w:b w:val="1"/>
      <w:lang w:eastAsia="zh-CN"/>
    </w:rPr>
  </w:style>
  <w:style w:type="character" w:styleId="GPSL2IndentChar" w:customStyle="1">
    <w:name w:val="GPS L2 Indent Char"/>
    <w:rPr>
      <w:rFonts w:ascii="Calibri" w:cs="Arial" w:eastAsia="Times New Roman" w:hAnsi="Calibri"/>
      <w:szCs w:val="24"/>
    </w:rPr>
  </w:style>
  <w:style w:type="character" w:styleId="GPSL2GuidanceChar" w:customStyle="1">
    <w:name w:val="GPS L2 Guidance Char"/>
    <w:rPr>
      <w:rFonts w:ascii="Calibri" w:cs="Arial" w:eastAsia="Times New Roman" w:hAnsi="Calibri"/>
      <w:b w:val="1"/>
      <w:i w:val="1"/>
      <w:lang w:eastAsia="zh-CN"/>
    </w:rPr>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rFonts w:ascii="Calibri" w:cs="Arial" w:eastAsia="Times New Roman" w:hAnsi="Calibri"/>
      <w:sz w:val="20"/>
      <w:szCs w:val="20"/>
    </w:rPr>
  </w:style>
  <w:style w:type="character" w:styleId="CommentSubjectChar" w:customStyle="1">
    <w:name w:val="Comment Subject Char"/>
    <w:basedOn w:val="CommentTextChar"/>
    <w:rPr>
      <w:rFonts w:ascii="Calibri" w:cs="Arial" w:eastAsia="Times New Roman" w:hAnsi="Calibri"/>
      <w:b w:val="1"/>
      <w:bCs w:val="1"/>
      <w:sz w:val="20"/>
      <w:szCs w:val="20"/>
    </w:rPr>
  </w:style>
  <w:style w:type="character" w:styleId="ListLabel1" w:customStyle="1">
    <w:name w:val="ListLabel 1"/>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 w:customStyle="1">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 w:customStyle="1">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 w:customStyle="1">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 w:customStyle="1">
    <w:name w:val="ListLabel 5"/>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 w:customStyle="1">
    <w:name w:val="ListLabel 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 w:customStyle="1">
    <w:name w:val="ListLabel 7"/>
    <w:rPr>
      <w:rFonts w:cs="Times New Roman"/>
    </w:rPr>
  </w:style>
  <w:style w:type="character" w:styleId="ListLabel8" w:customStyle="1">
    <w:name w:val="ListLabel 8"/>
    <w:rPr>
      <w:rFonts w:cs="Times New Roman"/>
    </w:rPr>
  </w:style>
  <w:style w:type="character" w:styleId="ListLabel9" w:customStyle="1">
    <w:name w:val="ListLabel 9"/>
    <w:rPr>
      <w:rFonts w:cs="Times New Roman"/>
    </w:rPr>
  </w:style>
  <w:style w:type="character" w:styleId="ListLabel10" w:customStyle="1">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11" w:customStyle="1">
    <w:name w:val="ListLabel 11"/>
    <w:rPr>
      <w:rFonts w:cs="Times New Roman"/>
    </w:rPr>
  </w:style>
  <w:style w:type="character" w:styleId="ListLabel12" w:customStyle="1">
    <w:name w:val="ListLabel 12"/>
    <w:rPr>
      <w:rFonts w:cs="Times New Roman"/>
    </w:rPr>
  </w:style>
  <w:style w:type="character" w:styleId="ListLabel13" w:customStyle="1">
    <w:name w:val="ListLabel 13"/>
    <w:rPr>
      <w:rFonts w:cs="Times New Roman"/>
    </w:rPr>
  </w:style>
  <w:style w:type="character" w:styleId="ListLabel14" w:customStyle="1">
    <w:name w:val="ListLabel 14"/>
    <w:rPr>
      <w:rFonts w:cs="Times New Roman"/>
    </w:rPr>
  </w:style>
  <w:style w:type="character" w:styleId="ListLabel15" w:customStyle="1">
    <w:name w:val="ListLabel 15"/>
    <w:rPr>
      <w:rFonts w:cs="Times New Roman"/>
    </w:rPr>
  </w:style>
  <w:style w:type="character" w:styleId="ListLabel16" w:customStyle="1">
    <w:name w:val="ListLabel 16"/>
    <w:rPr>
      <w:rFonts w:cs="Times New Roman"/>
    </w:rPr>
  </w:style>
  <w:style w:type="character" w:styleId="ListLabel17" w:customStyle="1">
    <w:name w:val="ListLabel 17"/>
    <w:rPr>
      <w:rFonts w:cs="Times New Roman"/>
    </w:rPr>
  </w:style>
  <w:style w:type="character" w:styleId="ListLabel18" w:customStyle="1">
    <w:name w:val="ListLabel 18"/>
    <w:rPr>
      <w:rFonts w:cs="Times New Roman"/>
    </w:rPr>
  </w:style>
  <w:style w:type="character" w:styleId="ListLabel19" w:customStyle="1">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0" w:customStyle="1">
    <w:name w:val="ListLabel 20"/>
    <w:rPr>
      <w:rFonts w:cs="Times New Roman"/>
    </w:rPr>
  </w:style>
  <w:style w:type="character" w:styleId="ListLabel21" w:customStyle="1">
    <w:name w:val="ListLabel 21"/>
    <w:rPr>
      <w:rFonts w:cs="Times New Roman"/>
    </w:rPr>
  </w:style>
  <w:style w:type="character" w:styleId="ListLabel22" w:customStyle="1">
    <w:name w:val="ListLabel 22"/>
    <w:rPr>
      <w:rFonts w:cs="Times New Roman"/>
    </w:rPr>
  </w:style>
  <w:style w:type="character" w:styleId="ListLabel23" w:customStyle="1">
    <w:name w:val="ListLabel 23"/>
    <w:rPr>
      <w:rFonts w:cs="Times New Roman"/>
    </w:rPr>
  </w:style>
  <w:style w:type="character" w:styleId="ListLabel24" w:customStyle="1">
    <w:name w:val="ListLabel 24"/>
    <w:rPr>
      <w:rFonts w:cs="Times New Roman"/>
    </w:rPr>
  </w:style>
  <w:style w:type="character" w:styleId="ListLabel25" w:customStyle="1">
    <w:name w:val="ListLabel 25"/>
    <w:rPr>
      <w:rFonts w:cs="Times New Roman"/>
    </w:rPr>
  </w:style>
  <w:style w:type="character" w:styleId="ListLabel26" w:customStyle="1">
    <w:name w:val="ListLabel 26"/>
    <w:rPr>
      <w:rFonts w:cs="Times New Roman"/>
    </w:rPr>
  </w:style>
  <w:style w:type="character" w:styleId="ListLabel27" w:customStyle="1">
    <w:name w:val="ListLabel 27"/>
    <w:rPr>
      <w:rFonts w:cs="Times New Roman"/>
    </w:rPr>
  </w:style>
  <w:style w:type="character" w:styleId="ListLabel28" w:customStyle="1">
    <w:name w:val="ListLabel 28"/>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9" w:customStyle="1">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0" w:customStyle="1">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1" w:customStyle="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2" w:customStyle="1">
    <w:name w:val="ListLabel 3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3" w:customStyle="1">
    <w:name w:val="ListLabel 33"/>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4" w:customStyle="1">
    <w:name w:val="ListLabel 34"/>
    <w:rPr>
      <w:rFonts w:cs="Times New Roman"/>
    </w:rPr>
  </w:style>
  <w:style w:type="character" w:styleId="ListLabel35" w:customStyle="1">
    <w:name w:val="ListLabel 35"/>
    <w:rPr>
      <w:rFonts w:cs="Times New Roman"/>
    </w:rPr>
  </w:style>
  <w:style w:type="character" w:styleId="ListLabel36" w:customStyle="1">
    <w:name w:val="ListLabel 36"/>
    <w:rPr>
      <w:rFonts w:cs="Times New Roman"/>
    </w:rPr>
  </w:style>
  <w:style w:type="character" w:styleId="ListLabel37" w:customStyle="1">
    <w:name w:val="ListLabel 37"/>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8" w:customStyle="1">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9" w:customStyle="1">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0" w:customStyle="1">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1" w:customStyle="1">
    <w:name w:val="ListLabel 4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2" w:customStyle="1">
    <w:name w:val="ListLabel 4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3" w:customStyle="1">
    <w:name w:val="ListLabel 43"/>
    <w:rPr>
      <w:rFonts w:cs="Times New Roman"/>
    </w:rPr>
  </w:style>
  <w:style w:type="character" w:styleId="ListLabel44" w:customStyle="1">
    <w:name w:val="ListLabel 44"/>
    <w:rPr>
      <w:rFonts w:cs="Times New Roman"/>
    </w:rPr>
  </w:style>
  <w:style w:type="character" w:styleId="ListLabel45" w:customStyle="1">
    <w:name w:val="ListLabel 45"/>
    <w:rPr>
      <w:rFonts w:cs="Times New Roman"/>
    </w:rPr>
  </w:style>
  <w:style w:type="character" w:styleId="ListLabel46" w:customStyle="1">
    <w:name w:val="ListLabel 46"/>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7" w:customStyle="1">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8" w:customStyle="1">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9" w:customStyle="1">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0" w:customStyle="1">
    <w:name w:val="ListLabel 5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1" w:customStyle="1">
    <w:name w:val="ListLabel 5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2" w:customStyle="1">
    <w:name w:val="ListLabel 52"/>
    <w:rPr>
      <w:rFonts w:cs="Times New Roman"/>
    </w:rPr>
  </w:style>
  <w:style w:type="character" w:styleId="ListLabel53" w:customStyle="1">
    <w:name w:val="ListLabel 53"/>
    <w:rPr>
      <w:rFonts w:cs="Times New Roman"/>
    </w:rPr>
  </w:style>
  <w:style w:type="character" w:styleId="ListLabel54" w:customStyle="1">
    <w:name w:val="ListLabel 54"/>
    <w:rPr>
      <w:rFonts w:cs="Times New Roman"/>
    </w:rPr>
  </w:style>
  <w:style w:type="character" w:styleId="ListLabel55" w:customStyle="1">
    <w:name w:val="ListLabel 55"/>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6" w:customStyle="1">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7" w:customStyle="1">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8" w:customStyle="1">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9" w:customStyle="1">
    <w:name w:val="ListLabel 59"/>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0" w:customStyle="1">
    <w:name w:val="ListLabel 6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1" w:customStyle="1">
    <w:name w:val="ListLabel 61"/>
    <w:rPr>
      <w:rFonts w:cs="Times New Roman"/>
    </w:rPr>
  </w:style>
  <w:style w:type="character" w:styleId="ListLabel62" w:customStyle="1">
    <w:name w:val="ListLabel 62"/>
    <w:rPr>
      <w:rFonts w:cs="Times New Roman"/>
    </w:rPr>
  </w:style>
  <w:style w:type="character" w:styleId="ListLabel63" w:customStyle="1">
    <w:name w:val="ListLabel 63"/>
    <w:rPr>
      <w:rFonts w:cs="Times New Roman"/>
    </w:rPr>
  </w:style>
  <w:style w:type="character" w:styleId="ListLabel64" w:customStyle="1">
    <w:name w:val="ListLabel 64"/>
    <w:rPr>
      <w:rFonts w:cs="Courier New"/>
      <w:b w:val="0"/>
    </w:rPr>
  </w:style>
  <w:style w:type="character" w:styleId="ListLabel65" w:customStyle="1">
    <w:name w:val="ListLabel 65"/>
    <w:rPr>
      <w:rFonts w:cs="Courier New"/>
    </w:rPr>
  </w:style>
  <w:style w:type="character" w:styleId="ListLabel66" w:customStyle="1">
    <w:name w:val="ListLabel 66"/>
    <w:rPr>
      <w:rFonts w:cs="Courier New"/>
    </w:rPr>
  </w:style>
  <w:style w:type="character" w:styleId="ListLabel67" w:customStyle="1">
    <w:name w:val="ListLabel 67"/>
    <w:rPr>
      <w:rFonts w:cs="Courier New"/>
    </w:rPr>
  </w:style>
  <w:style w:type="character" w:styleId="ListLabel68" w:customStyle="1">
    <w:name w:val="ListLabel 68"/>
    <w:rPr>
      <w:rFonts w:cs="Courier New"/>
    </w:rPr>
  </w:style>
  <w:style w:type="character" w:styleId="ListLabel69" w:customStyle="1">
    <w:name w:val="ListLabel 69"/>
    <w:rPr>
      <w:rFonts w:cs="Courier New"/>
    </w:rPr>
  </w:style>
  <w:style w:type="character" w:styleId="ListLabel70" w:customStyle="1">
    <w:name w:val="ListLabel 70"/>
    <w:rPr>
      <w:rFonts w:cs="Courier New"/>
    </w:rPr>
  </w:style>
  <w:style w:type="character" w:styleId="ListLabel71" w:customStyle="1">
    <w:name w:val="ListLabel 71"/>
    <w:rPr>
      <w:rFonts w:cs="Courier New"/>
    </w:rPr>
  </w:style>
  <w:style w:type="character" w:styleId="ListLabel72" w:customStyle="1">
    <w:name w:val="ListLabel 72"/>
    <w:rPr>
      <w:rFonts w:cs="Courier New"/>
    </w:rPr>
  </w:style>
  <w:style w:type="character" w:styleId="ListLabel73" w:customStyle="1">
    <w:name w:val="ListLabel 73"/>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4" w:customStyle="1">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5" w:customStyle="1">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6" w:customStyle="1">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7" w:customStyle="1">
    <w:name w:val="ListLabel 7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8" w:customStyle="1">
    <w:name w:val="ListLabel 78"/>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9" w:customStyle="1">
    <w:name w:val="ListLabel 79"/>
    <w:rPr>
      <w:rFonts w:cs="Times New Roman"/>
    </w:rPr>
  </w:style>
  <w:style w:type="character" w:styleId="ListLabel80" w:customStyle="1">
    <w:name w:val="ListLabel 80"/>
    <w:rPr>
      <w:rFonts w:cs="Times New Roman"/>
    </w:rPr>
  </w:style>
  <w:style w:type="character" w:styleId="ListLabel81" w:customStyle="1">
    <w:name w:val="ListLabel 81"/>
    <w:rPr>
      <w:rFonts w:cs="Times New Roman"/>
    </w:rPr>
  </w:style>
  <w:style w:type="character" w:styleId="ListLabel82" w:customStyle="1">
    <w:name w:val="ListLabel 82"/>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3" w:customStyle="1">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4" w:customStyle="1">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5" w:customStyle="1">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6" w:customStyle="1">
    <w:name w:val="ListLabel 8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7" w:customStyle="1">
    <w:name w:val="ListLabel 8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8" w:customStyle="1">
    <w:name w:val="ListLabel 88"/>
    <w:rPr>
      <w:rFonts w:cs="Times New Roman"/>
    </w:rPr>
  </w:style>
  <w:style w:type="character" w:styleId="ListLabel89" w:customStyle="1">
    <w:name w:val="ListLabel 89"/>
    <w:rPr>
      <w:rFonts w:cs="Times New Roman"/>
    </w:rPr>
  </w:style>
  <w:style w:type="character" w:styleId="ListLabel90" w:customStyle="1">
    <w:name w:val="ListLabel 90"/>
    <w:rPr>
      <w:rFonts w:cs="Times New Roman"/>
    </w:rPr>
  </w:style>
  <w:style w:type="numbering" w:styleId="NoList1" w:customStyle="1">
    <w:name w:val="No List_1"/>
    <w:basedOn w:val="NoList"/>
  </w:style>
  <w:style w:type="numbering" w:styleId="WWNum1" w:customStyle="1">
    <w:name w:val="WWNum1"/>
    <w:basedOn w:val="NoList"/>
  </w:style>
  <w:style w:type="numbering" w:styleId="WWNum2" w:customStyle="1">
    <w:name w:val="WWNum2"/>
    <w:basedOn w:val="NoList"/>
  </w:style>
  <w:style w:type="numbering" w:styleId="WWNum3" w:customStyle="1">
    <w:name w:val="WWNum3"/>
    <w:basedOn w:val="NoList"/>
  </w:style>
  <w:style w:type="numbering" w:styleId="WWNum4" w:customStyle="1">
    <w:name w:val="WWNum4"/>
    <w:basedOn w:val="NoList"/>
  </w:style>
  <w:style w:type="numbering" w:styleId="WWNum5" w:customStyle="1">
    <w:name w:val="WWNum5"/>
    <w:basedOn w:val="NoList"/>
  </w:style>
  <w:style w:type="numbering" w:styleId="WWNum6" w:customStyle="1">
    <w:name w:val="WWNum6"/>
    <w:basedOn w:val="NoList"/>
  </w:style>
  <w:style w:type="numbering" w:styleId="WWNum7" w:customStyle="1">
    <w:name w:val="WWNum7"/>
    <w:basedOn w:val="NoList"/>
  </w:style>
  <w:style w:type="numbering" w:styleId="WWNum8" w:customStyle="1">
    <w:name w:val="WWNum8"/>
    <w:basedOn w:val="NoList"/>
  </w:style>
  <w:style w:type="numbering" w:styleId="WWNum9" w:customStyle="1">
    <w:name w:val="WWNum9"/>
    <w:basedOn w:val="NoList"/>
  </w:style>
  <w:style w:type="numbering" w:styleId="WWNum10" w:customStyle="1">
    <w:name w:val="WWNum10"/>
    <w:basedOn w:val="NoList"/>
  </w:style>
  <w:style w:type="numbering" w:styleId="WWNum11" w:customStyle="1">
    <w:name w:val="WWNum11"/>
    <w:basedOn w:val="NoList"/>
  </w:style>
  <w:style w:type="numbering" w:styleId="WWNum12" w:customStyle="1">
    <w:name w:val="WWNum12"/>
    <w:basedOn w:val="NoList"/>
  </w:style>
  <w:style w:type="numbering" w:styleId="WWNum13" w:customStyle="1">
    <w:name w:val="WWNum13"/>
    <w:basedOn w:val="NoList"/>
  </w:style>
  <w:style w:type="table" w:styleId="TableGrid">
    <w:name w:val="Table Grid"/>
    <w:basedOn w:val="TableNormal"/>
    <w:uiPriority w:val="59"/>
    <w:rsid w:val="007A5C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AMainHeading" w:customStyle="1">
    <w:name w:val="FA: Main Heading"/>
    <w:basedOn w:val="Heading1"/>
    <w:qFormat w:val="1"/>
    <w:rsid w:val="00532FDD"/>
    <w:pPr>
      <w:numPr>
        <w:numId w:val="15"/>
      </w:numPr>
      <w:tabs>
        <w:tab w:val="num" w:pos="360"/>
      </w:tabs>
      <w:spacing w:after="20" w:before="20"/>
      <w:ind w:left="0" w:firstLine="0"/>
    </w:pPr>
    <w:rPr>
      <w:rFonts w:ascii="Arial" w:cs="Arial" w:eastAsia="Calibri" w:hAnsi="Arial"/>
      <w:b w:val="1"/>
      <w:color w:val="auto"/>
      <w:sz w:val="22"/>
      <w:szCs w:val="36"/>
    </w:rPr>
  </w:style>
  <w:style w:type="paragraph" w:styleId="FALevel1" w:customStyle="1">
    <w:name w:val="FA: Level 1"/>
    <w:basedOn w:val="Normal"/>
    <w:link w:val="FALevel1Char"/>
    <w:qFormat w:val="1"/>
    <w:rsid w:val="00532FDD"/>
    <w:pPr>
      <w:widowControl w:val="1"/>
      <w:numPr>
        <w:ilvl w:val="1"/>
        <w:numId w:val="15"/>
      </w:numPr>
      <w:spacing w:after="280" w:before="120" w:line="259" w:lineRule="auto"/>
    </w:pPr>
    <w:rPr>
      <w:rFonts w:ascii="Arial" w:cs="Arial" w:hAnsi="Arial" w:eastAsiaTheme="minorHAnsi"/>
    </w:rPr>
  </w:style>
  <w:style w:type="character" w:styleId="FALevel1Char" w:customStyle="1">
    <w:name w:val="FA: Level 1 Char"/>
    <w:basedOn w:val="DefaultParagraphFont"/>
    <w:link w:val="FALevel1"/>
    <w:rsid w:val="00532FDD"/>
    <w:rPr>
      <w:rFonts w:ascii="Arial" w:cs="Arial" w:hAnsi="Arial" w:eastAsiaTheme="minorHAnsi"/>
    </w:rPr>
  </w:style>
  <w:style w:type="paragraph" w:styleId="FALevel2" w:customStyle="1">
    <w:name w:val="FA: Level 2"/>
    <w:basedOn w:val="Normal"/>
    <w:link w:val="FALevel2Char"/>
    <w:qFormat w:val="1"/>
    <w:rsid w:val="00532FDD"/>
    <w:pPr>
      <w:widowControl w:val="1"/>
      <w:numPr>
        <w:ilvl w:val="2"/>
        <w:numId w:val="15"/>
      </w:numPr>
      <w:spacing w:after="280" w:before="120" w:line="259" w:lineRule="auto"/>
    </w:pPr>
    <w:rPr>
      <w:rFonts w:ascii="Arial" w:cs="Arial" w:hAnsi="Arial" w:eastAsiaTheme="minorHAnsi"/>
    </w:rPr>
  </w:style>
  <w:style w:type="character" w:styleId="FALevel2Char" w:customStyle="1">
    <w:name w:val="FA: Level 2 Char"/>
    <w:basedOn w:val="DefaultParagraphFont"/>
    <w:link w:val="FALevel2"/>
    <w:rsid w:val="00532FDD"/>
    <w:rPr>
      <w:rFonts w:ascii="Arial" w:cs="Arial" w:hAnsi="Arial" w:eastAsiaTheme="minorHAnsi"/>
    </w:rPr>
  </w:style>
  <w:style w:type="character" w:styleId="Heading1Char" w:customStyle="1">
    <w:name w:val="Heading 1 Char"/>
    <w:basedOn w:val="DefaultParagraphFont"/>
    <w:link w:val="Heading1"/>
    <w:uiPriority w:val="9"/>
    <w:rsid w:val="00532FDD"/>
    <w:rPr>
      <w:rFonts w:asciiTheme="majorHAnsi" w:cstheme="majorBidi" w:eastAsiaTheme="majorEastAsia" w:hAnsiTheme="majorHAnsi"/>
      <w:color w:val="2f5496" w:themeColor="accent1" w:themeShade="0000BF"/>
      <w:sz w:val="32"/>
      <w:szCs w:val="32"/>
    </w:rPr>
  </w:style>
  <w:style w:type="paragraph" w:styleId="FABulletPoints" w:customStyle="1">
    <w:name w:val="FA: Bullet Points"/>
    <w:basedOn w:val="Normal"/>
    <w:link w:val="FABulletPointsChar"/>
    <w:qFormat w:val="1"/>
    <w:rsid w:val="00532FDD"/>
    <w:pPr>
      <w:widowControl w:val="1"/>
      <w:tabs>
        <w:tab w:val="num" w:pos="720"/>
      </w:tabs>
      <w:ind w:left="720" w:hanging="720"/>
    </w:pPr>
    <w:rPr>
      <w:rFonts w:ascii="Arial" w:cs="Arial" w:hAnsi="Arial" w:eastAsiaTheme="minorHAnsi"/>
    </w:rPr>
  </w:style>
  <w:style w:type="character" w:styleId="FABulletPointsChar" w:customStyle="1">
    <w:name w:val="FA: Bullet Points Char"/>
    <w:basedOn w:val="DefaultParagraphFont"/>
    <w:link w:val="FABulletPoints"/>
    <w:rsid w:val="00532FDD"/>
    <w:rPr>
      <w:rFonts w:ascii="Arial" w:cs="Arial" w:hAnsi="Arial" w:eastAsiaTheme="minorHAnsi"/>
    </w:rPr>
  </w:style>
  <w:style w:type="paragraph" w:styleId="Revision">
    <w:name w:val="Revision"/>
    <w:hidden w:val="1"/>
    <w:uiPriority w:val="99"/>
    <w:semiHidden w:val="1"/>
    <w:rsid w:val="00CE0EDB"/>
    <w:pPr>
      <w:widowControl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e1yDeakOxZRbLeUMKhQwhVgw==">AMUW2mVJ27WIqZf8A26orsmghP42V9+9oAW4CmmkR8vY1U1pKnr0s0/e96xuKNOqIzBfWUn/nJ65BZcnygbu6hy2owtrvzwhvkeUkDX/A3ZVFsPd8nE7AEm7ca8EmI9Nb+dWfaFK7jmhuPXYLgSQ3WCw64zDXi2gKO7Dlmb23JG2wdCmeSxRGCsN3VkyYBCQNiFvStGMLbQE67boc0o8aH5CpJcrBc07WO2LFLj/nlwNhqwCL/soC52dhf9DfS7SnsQ/jlgR7DBv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2020-10-15T09:02:00Z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