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z w:val="36"/>
          <w:szCs w:val="36"/>
        </w:rPr>
      </w:pPr>
      <w:bookmarkStart w:colFirst="0" w:colLast="0" w:name="_heading=h.1fob9te" w:id="0"/>
      <w:bookmarkEnd w:id="0"/>
      <w:r w:rsidDel="00000000" w:rsidR="00000000" w:rsidRPr="00000000">
        <w:rPr>
          <w:rFonts w:ascii="Arial" w:cs="Arial" w:eastAsia="Arial" w:hAnsi="Arial"/>
          <w:b w:val="1"/>
          <w:sz w:val="36"/>
          <w:szCs w:val="36"/>
          <w:rtl w:val="0"/>
        </w:rPr>
        <w:t xml:space="preserve">Call-Off Schedule 25 (Billable Works and Projects)</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schedule prescribes the procedure, calculations and rates to be used by the Buyer and Supplier when assessing the Charges for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4"/>
          <w:szCs w:val="24"/>
          <w:rtl w:val="0"/>
        </w:rPr>
        <w:t xml:space="preserve">Billable Works and Projects.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 the avoidance of doubt, nothing in this Schedule shall give the Supplier exclusive rights over Billable Works and Projects and the Buyer shall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ot be required to order Billable Works or Projects from the Supplier, and shall be entitled to order Billable Works and Projects from other Suppliers.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reserves the right to vary or amend this Schedule a</w:t>
      </w:r>
      <w:r w:rsidDel="00000000" w:rsidR="00000000" w:rsidRPr="00000000">
        <w:rPr>
          <w:rFonts w:ascii="Arial" w:cs="Arial" w:eastAsia="Arial" w:hAnsi="Arial"/>
          <w:sz w:val="24"/>
          <w:szCs w:val="24"/>
          <w:rtl w:val="0"/>
        </w:rPr>
        <w:t xml:space="preserve">s part of a Call Off Award Procedure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Billable Works</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The Billable Works Management Uplift Percentage shall be applied against the cost of the Billable Works.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080" w:firstLine="0"/>
        <w:jc w:val="left"/>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The Billable Works Management Uplift Percentage shall include the costs of:</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2et92p0" w:id="1"/>
      <w:bookmarkEnd w:id="1"/>
      <w:r w:rsidDel="00000000" w:rsidR="00000000" w:rsidRPr="00000000">
        <w:rPr>
          <w:rFonts w:ascii="Arial" w:cs="Arial" w:eastAsia="Arial" w:hAnsi="Arial"/>
          <w:color w:val="222222"/>
          <w:sz w:val="24"/>
          <w:szCs w:val="24"/>
          <w:highlight w:val="white"/>
          <w:rtl w:val="0"/>
        </w:rPr>
        <w:t xml:space="preserve">processing and managing the quotation/tenders within each tier as per the Buyers process;</w:t>
      </w:r>
      <w:r w:rsidDel="00000000" w:rsidR="00000000" w:rsidRPr="00000000">
        <w:rPr>
          <w:rtl w:val="0"/>
        </w:rPr>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management of works;</w:t>
      </w:r>
      <w:r w:rsidDel="00000000" w:rsidR="00000000" w:rsidRPr="00000000">
        <w:rPr>
          <w:rtl w:val="0"/>
        </w:rPr>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gjdgxs" w:id="2"/>
      <w:bookmarkEnd w:id="2"/>
      <w:r w:rsidDel="00000000" w:rsidR="00000000" w:rsidRPr="00000000">
        <w:rPr>
          <w:rFonts w:ascii="Arial" w:cs="Arial" w:eastAsia="Arial" w:hAnsi="Arial"/>
          <w:color w:val="222222"/>
          <w:sz w:val="24"/>
          <w:szCs w:val="24"/>
          <w:highlight w:val="white"/>
          <w:rtl w:val="0"/>
        </w:rPr>
        <w:t xml:space="preserve">management of subcontractors</w:t>
      </w:r>
      <w:r w:rsidDel="00000000" w:rsidR="00000000" w:rsidRPr="00000000">
        <w:rPr>
          <w:rFonts w:ascii="Arial" w:cs="Arial" w:eastAsia="Arial" w:hAnsi="Arial"/>
          <w:color w:val="222222"/>
          <w:sz w:val="24"/>
          <w:szCs w:val="24"/>
          <w:rtl w:val="0"/>
        </w:rPr>
        <w:t xml:space="preserve"> (where applicable); and</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3dy6vkm" w:id="3"/>
      <w:bookmarkEnd w:id="3"/>
      <w:r w:rsidDel="00000000" w:rsidR="00000000" w:rsidRPr="00000000">
        <w:rPr>
          <w:rFonts w:ascii="Arial" w:cs="Arial" w:eastAsia="Arial" w:hAnsi="Arial"/>
          <w:color w:val="222222"/>
          <w:sz w:val="24"/>
          <w:szCs w:val="24"/>
          <w:rtl w:val="0"/>
        </w:rPr>
        <w:t xml:space="preserve">day to day administration.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656"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The Billable Works Management Uplift Percentage shall exclude any service delivery costs which are expected to be included in the pricing of the works.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Billable Works shall be authorised in accordance with the Billable Works and Approvals Process.  The Buyer may at its discretion require Billable Works to be:</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and executed by the Supplier;</w:t>
      </w:r>
      <w:r w:rsidDel="00000000" w:rsidR="00000000" w:rsidRPr="00000000">
        <w:rPr>
          <w:rtl w:val="0"/>
        </w:rPr>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by a third party nominated by the Buyer and executed by the Supplier; </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by the Supplier and executed by any third party nominated by the Buyer.</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sz w:val="24"/>
          <w:szCs w:val="24"/>
        </w:rPr>
      </w:pPr>
      <w:bookmarkStart w:colFirst="0" w:colLast="0" w:name="_heading=h.1t3h5sf" w:id="4"/>
      <w:bookmarkEnd w:id="4"/>
      <w:r w:rsidDel="00000000" w:rsidR="00000000" w:rsidRPr="00000000">
        <w:rPr>
          <w:rFonts w:ascii="Arial" w:cs="Arial" w:eastAsia="Arial" w:hAnsi="Arial"/>
          <w:color w:val="000000"/>
          <w:sz w:val="24"/>
          <w:szCs w:val="24"/>
          <w:rtl w:val="0"/>
        </w:rPr>
        <w:t xml:space="preserve">Any estimate/quotation for Billable Works shall breakdown the costs in the categories below:</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labour;</w:t>
      </w: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parts;</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replacement Assets; </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materials;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applicable cost categories as the Buyer may notify to the Supplier from time to time. </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Billable Works Management Uplift Percentage (which includes Overhead); and</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profit;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985"/>
          <w:tab w:val="left" w:pos="2127"/>
        </w:tabs>
        <w:spacing w:after="120" w:before="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Where Billable Works are delivered directly via the Supplier’s appointed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ontractor the estimate/quotation shall breakdown the cost categories as per 2.5.1 – 2.5.7 and shall also include:</w:t>
      </w:r>
      <w:r w:rsidDel="00000000" w:rsidR="00000000" w:rsidRPr="00000000">
        <w:rPr>
          <w:rtl w:val="0"/>
        </w:rPr>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Subcontractor name</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Subcontractor total cost (including Subcontractors profit and overhead)</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rPr>
          <w:rFonts w:ascii="Arial" w:cs="Arial" w:eastAsia="Arial" w:hAnsi="Arial"/>
        </w:rPr>
      </w:pPr>
      <w:r w:rsidDel="00000000" w:rsidR="00000000" w:rsidRPr="00000000">
        <w:rPr>
          <w:rFonts w:ascii="Arial" w:cs="Arial" w:eastAsia="Arial" w:hAnsi="Arial"/>
          <w:sz w:val="24"/>
          <w:szCs w:val="24"/>
          <w:rtl w:val="0"/>
        </w:rPr>
        <w:t xml:space="preserve">The application of the Billable Works Management Uplift Percentage and Profit percentages shall be as follows:</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Calculate sum total of costs defined in paragraph 2.5.1 – 2.5.5</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Apply Billable Works Management Uplift Percentage as per 2.5.6 </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Apply profit as per 2.5.7 </w:t>
      </w:r>
    </w:p>
    <w:p w:rsidR="00000000" w:rsidDel="00000000" w:rsidP="00000000" w:rsidRDefault="00000000" w:rsidRPr="00000000" w14:paraId="00000025">
      <w:pPr>
        <w:spacing w:after="120" w:before="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120" w:before="120" w:lineRule="auto"/>
        <w:ind w:left="360" w:hanging="360"/>
        <w:rPr>
          <w:rFonts w:ascii="Arial" w:cs="Arial" w:eastAsia="Arial" w:hAnsi="Arial"/>
          <w:color w:val="000000"/>
          <w:sz w:val="24"/>
          <w:szCs w:val="24"/>
        </w:rPr>
      </w:pPr>
      <w:bookmarkStart w:colFirst="0" w:colLast="0" w:name="_heading=h.3znysh7" w:id="5"/>
      <w:bookmarkEnd w:id="5"/>
      <w:r w:rsidDel="00000000" w:rsidR="00000000" w:rsidRPr="00000000">
        <w:rPr>
          <w:rFonts w:ascii="Arial" w:cs="Arial" w:eastAsia="Arial" w:hAnsi="Arial"/>
          <w:b w:val="1"/>
          <w:color w:val="000000"/>
          <w:sz w:val="24"/>
          <w:szCs w:val="24"/>
          <w:rtl w:val="0"/>
        </w:rPr>
        <w:t xml:space="preserve">Quotations and Tenders for Billable Works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rPr>
          <w:rFonts w:ascii="Arial" w:cs="Arial" w:eastAsia="Arial" w:hAnsi="Arial"/>
        </w:rPr>
      </w:pPr>
      <w:bookmarkStart w:colFirst="0" w:colLast="0" w:name="_heading=h.30j0zll" w:id="6"/>
      <w:bookmarkEnd w:id="6"/>
      <w:r w:rsidDel="00000000" w:rsidR="00000000" w:rsidRPr="00000000">
        <w:rPr>
          <w:rFonts w:ascii="Arial" w:cs="Arial" w:eastAsia="Arial" w:hAnsi="Arial"/>
          <w:color w:val="000000"/>
          <w:sz w:val="24"/>
          <w:szCs w:val="24"/>
          <w:rtl w:val="0"/>
        </w:rPr>
        <w:t xml:space="preserve">Where the Buyer gives instructions to the Supplier to manage and/or execute Billable Works according to </w:t>
      </w:r>
      <w:r w:rsidDel="00000000" w:rsidR="00000000" w:rsidRPr="00000000">
        <w:rPr>
          <w:rFonts w:ascii="Arial" w:cs="Arial" w:eastAsia="Arial" w:hAnsi="Arial"/>
          <w:sz w:val="24"/>
          <w:szCs w:val="24"/>
          <w:rtl w:val="0"/>
        </w:rPr>
        <w:t xml:space="preserve">the estimated value range</w:t>
      </w:r>
      <w:r w:rsidDel="00000000" w:rsidR="00000000" w:rsidRPr="00000000">
        <w:rPr>
          <w:rFonts w:ascii="Arial" w:cs="Arial" w:eastAsia="Arial" w:hAnsi="Arial"/>
          <w:color w:val="000000"/>
          <w:sz w:val="24"/>
          <w:szCs w:val="24"/>
          <w:rtl w:val="0"/>
        </w:rPr>
        <w:t xml:space="preserve">s, unless otherwise stated at Call Off </w:t>
      </w:r>
      <w:r w:rsidDel="00000000" w:rsidR="00000000" w:rsidRPr="00000000">
        <w:rPr>
          <w:rFonts w:ascii="Arial" w:cs="Arial" w:eastAsia="Arial" w:hAnsi="Arial"/>
          <w:sz w:val="24"/>
          <w:szCs w:val="24"/>
          <w:rtl w:val="0"/>
        </w:rPr>
        <w:t xml:space="preserve">within the Order Form.</w:t>
      </w:r>
      <w:r w:rsidDel="00000000" w:rsidR="00000000" w:rsidRPr="00000000">
        <w:rPr>
          <w:rtl w:val="0"/>
        </w:rPr>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sz w:val="24"/>
          <w:szCs w:val="24"/>
          <w:rtl w:val="0"/>
        </w:rPr>
        <w:t xml:space="preserve">Tier</w:t>
      </w:r>
      <w:r w:rsidDel="00000000" w:rsidR="00000000" w:rsidRPr="00000000">
        <w:rPr>
          <w:rFonts w:ascii="Arial" w:cs="Arial" w:eastAsia="Arial" w:hAnsi="Arial"/>
          <w:color w:val="000000"/>
          <w:sz w:val="24"/>
          <w:szCs w:val="24"/>
          <w:rtl w:val="0"/>
        </w:rPr>
        <w:t xml:space="preserve"> One Billable Works shall be managed and executed by the Supplier. Where the Billable Works are to be delivered directly by the Supplier, the Supplier shall provide an estimate of costs in accordance with the rates set out in Call Off Schedule 5 (Pricing Details) or other schedule of rates as requested by the Buyer at Call Off. Where Works are to be undertaken by other Supplier appointed third parties, the Supplier shall provide at least [one] written quotation. The Supplier shall not commence any Tier One Billable Works until approval has been granted by the Buyer to proceed to completion. </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Tier Two Billable Works shall be managed and/or executed by the Supplier. Where instructed by the Buyer, the Supplier shall obtain at least [three] written quotations. The Supplier shall not commence any Tier Two Billable Works until approval has been granted by the Buyer to proceed to completion. </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Tier Three Billable Works shall be managed and/or executed by the Supplier.  Where instructed by the Buyer, the Supplier shall obtain at least [three] formal tenders under the defined procurement process as agreed between the Supplier and the Buyer from time to time. The Supplier shall not commence any Tier Three Billable Works until approval has been granted by the Buyer to proceed to completion. </w:t>
      </w:r>
      <w:r w:rsidDel="00000000" w:rsidR="00000000" w:rsidRPr="00000000">
        <w:rPr>
          <w:rtl w:val="0"/>
        </w:rPr>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Tier Four Billable Works shall be managed and/or executed by the Supplier. Where instructed by the Buyer, the Supplier shall obtain at least [five] formal tenders under the Supplier’s defined procurement process. The Supplier shall not commence any Tier Four Billable Works until approval has been granted by the Buyer to proceed to completion.   </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Where the Buyer allows the Supplier to both manage the tender process and tender for the Billable Works, the Supplier shall ensure appropriate Ethical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all arrangements are in place to prevent conflicts of interest and that the Public Contract Regulations (2015) are adhered to.</w:t>
      </w: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sz w:val="28"/>
          <w:szCs w:val="28"/>
        </w:rPr>
      </w:pPr>
      <w:r w:rsidDel="00000000" w:rsidR="00000000" w:rsidRPr="00000000">
        <w:rPr>
          <w:rFonts w:ascii="Arial" w:cs="Arial" w:eastAsia="Arial" w:hAnsi="Arial"/>
          <w:color w:val="202124"/>
          <w:sz w:val="24"/>
          <w:szCs w:val="24"/>
          <w:highlight w:val="white"/>
          <w:rtl w:val="0"/>
        </w:rPr>
        <w:t xml:space="preserve">The terms and conditions for Billable Works will be as per those in the PSC unless otherwise specified by the Buyer under their defined procurement process.</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seek prior written approval from the Buyer prior to proceeding to provide any Billable Works with the exception of:</w:t>
      </w: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Billable Works up to the value specified in the Order Form (Billable</w:t>
      </w:r>
      <w:r w:rsidDel="00000000" w:rsidR="00000000" w:rsidRPr="00000000">
        <w:rPr>
          <w:rFonts w:ascii="Arial" w:cs="Arial" w:eastAsia="Arial" w:hAnsi="Arial"/>
          <w:sz w:val="24"/>
          <w:szCs w:val="24"/>
          <w:rtl w:val="0"/>
        </w:rPr>
        <w:t xml:space="preserve"> Works not requiring approval)</w:t>
      </w:r>
      <w:r w:rsidDel="00000000" w:rsidR="00000000" w:rsidRPr="00000000">
        <w:rPr>
          <w:rFonts w:ascii="Arial" w:cs="Arial" w:eastAsia="Arial" w:hAnsi="Arial"/>
          <w:color w:val="000000"/>
          <w:sz w:val="24"/>
          <w:szCs w:val="24"/>
          <w:rtl w:val="0"/>
        </w:rPr>
        <w:t xml:space="preserve">; or</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Billable Works required as a consequence of a Business Critical Event,</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Buyer shall not unreasonably withhold approval to the costs associated with such Billable Works; however the Supplier shall retrospectively commence the relevant approval process set out in paragraph 3.1 by the next Working Day and complete such process as soon as reasonably practicable.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Where Billable Works arise as a result of any:</w:t>
      </w: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Reactive Maintenance Works where the costs exceed the Inclusive Repair Threshold;</w:t>
      </w:r>
      <w:r w:rsidDel="00000000" w:rsidR="00000000" w:rsidRPr="00000000">
        <w:rPr>
          <w:rtl w:val="0"/>
        </w:rPr>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Works that are Small Works; or </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Works arising from Planned Maintenance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ind w:left="10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Billable Works shall not proceed until an instruction is received from the Buyer in writing or via the Security </w:t>
      </w:r>
      <w:r w:rsidDel="00000000" w:rsidR="00000000" w:rsidRPr="00000000">
        <w:rPr>
          <w:rFonts w:ascii="Arial" w:cs="Arial" w:eastAsia="Arial" w:hAnsi="Arial"/>
          <w:sz w:val="24"/>
          <w:szCs w:val="24"/>
          <w:rtl w:val="0"/>
        </w:rPr>
        <w:t xml:space="preserve">Management Tool.</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Quotations for Billable Works may include the Billable Works Management Uplift Percentage (if applicable) as per the rates submitted in the Pricing Matrix.</w:t>
      </w:r>
      <w:r w:rsidDel="00000000" w:rsidR="00000000" w:rsidRPr="00000000">
        <w:rPr>
          <w:rtl w:val="0"/>
        </w:rPr>
      </w:r>
    </w:p>
    <w:p w:rsidR="00000000" w:rsidDel="00000000" w:rsidP="00000000" w:rsidRDefault="00000000" w:rsidRPr="00000000" w14:paraId="00000038">
      <w:pPr>
        <w:numPr>
          <w:ilvl w:val="1"/>
          <w:numId w:val="1"/>
        </w:numPr>
        <w:spacing w:after="120" w:before="120" w:lineRule="auto"/>
        <w:ind w:left="1080" w:hanging="720"/>
        <w:rPr>
          <w:rFonts w:ascii="Arial" w:cs="Arial" w:eastAsia="Arial" w:hAnsi="Arial"/>
        </w:rPr>
      </w:pPr>
      <w:r w:rsidDel="00000000" w:rsidR="00000000" w:rsidRPr="00000000">
        <w:rPr>
          <w:rFonts w:ascii="Arial" w:cs="Arial" w:eastAsia="Arial" w:hAnsi="Arial"/>
          <w:sz w:val="24"/>
          <w:szCs w:val="24"/>
          <w:rtl w:val="0"/>
        </w:rPr>
        <w:t xml:space="preserve">If Billable Works are aborted by the Buyer prior to completion, any claim for costs up to the point of it being aborted shall be limited to costs actually, reasonably and properly incurred and they shall be evidenced as part of any quote for the Buyer to consider. </w:t>
      </w:r>
      <w:r w:rsidDel="00000000" w:rsidR="00000000" w:rsidRPr="00000000">
        <w:rPr>
          <w:rtl w:val="0"/>
        </w:rPr>
      </w:r>
    </w:p>
    <w:p w:rsidR="00000000" w:rsidDel="00000000" w:rsidP="00000000" w:rsidRDefault="00000000" w:rsidRPr="00000000" w14:paraId="00000039">
      <w:pPr>
        <w:numPr>
          <w:ilvl w:val="2"/>
          <w:numId w:val="1"/>
        </w:numPr>
        <w:tabs>
          <w:tab w:val="left" w:pos="1985"/>
        </w:tabs>
        <w:spacing w:after="120" w:before="120" w:lineRule="auto"/>
        <w:ind w:left="1656" w:hanging="576"/>
        <w:rPr>
          <w:rFonts w:ascii="Arial" w:cs="Arial" w:eastAsia="Arial" w:hAnsi="Arial"/>
        </w:rPr>
      </w:pPr>
      <w:r w:rsidDel="00000000" w:rsidR="00000000" w:rsidRPr="00000000">
        <w:rPr>
          <w:rFonts w:ascii="Arial" w:cs="Arial" w:eastAsia="Arial" w:hAnsi="Arial"/>
          <w:sz w:val="24"/>
          <w:szCs w:val="24"/>
          <w:rtl w:val="0"/>
        </w:rPr>
        <w:t xml:space="preserve">On receipt of the Suppliers breakdown and evidence, the Buyer shall either:</w:t>
      </w:r>
      <w:r w:rsidDel="00000000" w:rsidR="00000000" w:rsidRPr="00000000">
        <w:rPr>
          <w:rtl w:val="0"/>
        </w:rPr>
      </w:r>
    </w:p>
    <w:p w:rsidR="00000000" w:rsidDel="00000000" w:rsidP="00000000" w:rsidRDefault="00000000" w:rsidRPr="00000000" w14:paraId="0000003A">
      <w:pPr>
        <w:numPr>
          <w:ilvl w:val="3"/>
          <w:numId w:val="2"/>
        </w:numPr>
        <w:tabs>
          <w:tab w:val="left" w:pos="1985"/>
        </w:tabs>
        <w:spacing w:after="120" w:before="120" w:lineRule="auto"/>
        <w:ind w:left="2520"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Notify the Supplier in writing of acceptance of the costs;</w:t>
      </w:r>
    </w:p>
    <w:p w:rsidR="00000000" w:rsidDel="00000000" w:rsidP="00000000" w:rsidRDefault="00000000" w:rsidRPr="00000000" w14:paraId="0000003B">
      <w:pPr>
        <w:numPr>
          <w:ilvl w:val="3"/>
          <w:numId w:val="2"/>
        </w:numPr>
        <w:tabs>
          <w:tab w:val="left" w:pos="1985"/>
        </w:tabs>
        <w:spacing w:after="120" w:before="120" w:lineRule="auto"/>
        <w:ind w:left="2520"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Request further information/evidence; and/or</w:t>
      </w:r>
    </w:p>
    <w:p w:rsidR="00000000" w:rsidDel="00000000" w:rsidP="00000000" w:rsidRDefault="00000000" w:rsidRPr="00000000" w14:paraId="0000003C">
      <w:pPr>
        <w:numPr>
          <w:ilvl w:val="3"/>
          <w:numId w:val="2"/>
        </w:numPr>
        <w:tabs>
          <w:tab w:val="left" w:pos="1985"/>
        </w:tabs>
        <w:spacing w:after="120" w:before="120" w:lineRule="auto"/>
        <w:ind w:left="2520"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Request a meeting to discuss/clarify the evidence provided.</w:t>
      </w:r>
    </w:p>
    <w:p w:rsidR="00000000" w:rsidDel="00000000" w:rsidP="00000000" w:rsidRDefault="00000000" w:rsidRPr="00000000" w14:paraId="0000003D">
      <w:pPr>
        <w:numPr>
          <w:ilvl w:val="1"/>
          <w:numId w:val="1"/>
        </w:numPr>
        <w:tabs>
          <w:tab w:val="left" w:pos="1985"/>
        </w:tabs>
        <w:spacing w:after="120" w:before="120" w:lineRule="auto"/>
        <w:ind w:left="1080" w:hanging="720"/>
        <w:rPr>
          <w:rFonts w:ascii="Arial" w:cs="Arial" w:eastAsia="Arial" w:hAnsi="Arial"/>
        </w:rPr>
      </w:pPr>
      <w:r w:rsidDel="00000000" w:rsidR="00000000" w:rsidRPr="00000000">
        <w:rPr>
          <w:rFonts w:ascii="Arial" w:cs="Arial" w:eastAsia="Arial" w:hAnsi="Arial"/>
          <w:sz w:val="24"/>
          <w:szCs w:val="24"/>
          <w:rtl w:val="0"/>
        </w:rPr>
        <w:t xml:space="preserve">Where the costs are agreed following the receipt of further information/evidence or following a meeting, the Buyer shall notify the Supplier in writing and confirm the costs are to apply. </w:t>
      </w:r>
      <w:r w:rsidDel="00000000" w:rsidR="00000000" w:rsidRPr="00000000">
        <w:rPr>
          <w:rtl w:val="0"/>
        </w:rPr>
      </w:r>
    </w:p>
    <w:p w:rsidR="00000000" w:rsidDel="00000000" w:rsidP="00000000" w:rsidRDefault="00000000" w:rsidRPr="00000000" w14:paraId="0000003E">
      <w:pPr>
        <w:numPr>
          <w:ilvl w:val="1"/>
          <w:numId w:val="1"/>
        </w:numPr>
        <w:tabs>
          <w:tab w:val="left" w:pos="1985"/>
        </w:tabs>
        <w:spacing w:after="120" w:before="120" w:lineRule="auto"/>
        <w:ind w:left="1080" w:hanging="720"/>
        <w:rPr>
          <w:rFonts w:ascii="Arial" w:cs="Arial" w:eastAsia="Arial" w:hAnsi="Arial"/>
        </w:rPr>
      </w:pPr>
      <w:r w:rsidDel="00000000" w:rsidR="00000000" w:rsidRPr="00000000">
        <w:rPr>
          <w:rFonts w:ascii="Arial" w:cs="Arial" w:eastAsia="Arial" w:hAnsi="Arial"/>
          <w:sz w:val="24"/>
          <w:szCs w:val="24"/>
          <w:rtl w:val="0"/>
        </w:rPr>
        <w:t xml:space="preserve">In the event that the Parties are unable to agree the costs the Parties shall follow the Dispute Resolution Procedure.</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before="240" w:lineRule="auto"/>
        <w:ind w:left="0" w:hanging="360"/>
        <w:rPr>
          <w:rFonts w:ascii="Arial" w:cs="Arial" w:eastAsia="Arial" w:hAnsi="Arial"/>
        </w:rPr>
      </w:pPr>
      <w:bookmarkStart w:colFirst="0" w:colLast="0" w:name="_heading=h.tyjcwt" w:id="7"/>
      <w:bookmarkEnd w:id="7"/>
      <w:r w:rsidDel="00000000" w:rsidR="00000000" w:rsidRPr="00000000">
        <w:rPr>
          <w:rFonts w:ascii="Arial" w:cs="Arial" w:eastAsia="Arial" w:hAnsi="Arial"/>
          <w:b w:val="1"/>
          <w:sz w:val="24"/>
          <w:szCs w:val="24"/>
          <w:rtl w:val="0"/>
        </w:rPr>
        <w:t xml:space="preserve">General Projects</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rPr>
      </w:pPr>
      <w:r w:rsidDel="00000000" w:rsidR="00000000" w:rsidRPr="00000000">
        <w:rPr>
          <w:rFonts w:ascii="Arial" w:cs="Arial" w:eastAsia="Arial" w:hAnsi="Arial"/>
          <w:sz w:val="24"/>
          <w:szCs w:val="24"/>
          <w:rtl w:val="0"/>
        </w:rPr>
        <w:t xml:space="preserve">If the Buyer decides at its sole discretion that the scope of any Billable Works are such that they require a defined management approach, this will be deemed to be a General Project and not a Billable Work and the management approach will be defined by the Buyer at Further Competition</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before="120" w:lineRule="auto"/>
        <w:ind w:left="108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shall provide evidence of the resource allocation required to provide any Project at the time of quotation or tender and such associated costs must be agreed as acceptable by the Buyer prior to any Works which are part of a Project commencing.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Buyer aborts General Projects at any stage, the Supplier may provide a full breakdown and evidence of the resource allocation utilised and associated costs to date on notification of the Buyer.   Such associated costs must be agreed as acceptable by the Buyer prior to raising the invoice</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color w:val="000000"/>
          <w:sz w:val="24"/>
          <w:szCs w:val="24"/>
          <w:rtl w:val="0"/>
        </w:rPr>
        <w:t xml:space="preserve">receipt of the Suppliers breakdown and evidence, the Buyer shall either:</w:t>
      </w:r>
      <w:r w:rsidDel="00000000" w:rsidR="00000000" w:rsidRPr="00000000">
        <w:rPr>
          <w:rtl w:val="0"/>
        </w:rPr>
      </w:r>
    </w:p>
    <w:p w:rsidR="00000000" w:rsidDel="00000000" w:rsidP="00000000" w:rsidRDefault="00000000" w:rsidRPr="00000000" w14:paraId="00000045">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costs;</w:t>
      </w:r>
    </w:p>
    <w:p w:rsidR="00000000" w:rsidDel="00000000" w:rsidP="00000000" w:rsidRDefault="00000000" w:rsidRPr="00000000" w14:paraId="00000046">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47">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r w:rsidDel="00000000" w:rsidR="00000000" w:rsidRPr="00000000">
        <w:rPr>
          <w:rtl w:val="0"/>
        </w:rPr>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Where the costs are agreed following the receipt of further information/evidence or following a meeting, the Buyer shall notify the Supplier in writing and confirm the costs are to apply. </w:t>
      </w:r>
      <w:r w:rsidDel="00000000" w:rsidR="00000000" w:rsidRPr="00000000">
        <w:rPr>
          <w:rtl w:val="0"/>
        </w:rPr>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In the event that the Parties are unable to agree the costs the Parties shall follow the Dispute Resolution Procedure.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left" w:pos="1985"/>
        </w:tabs>
        <w:spacing w:after="120" w:before="120" w:lineRule="auto"/>
        <w:ind w:left="360" w:hanging="360"/>
        <w:rPr>
          <w:rFonts w:ascii="Arial" w:cs="Arial" w:eastAsia="Arial" w:hAnsi="Arial"/>
        </w:rPr>
      </w:pPr>
      <w:r w:rsidDel="00000000" w:rsidR="00000000" w:rsidRPr="00000000">
        <w:rPr>
          <w:rFonts w:ascii="Arial" w:cs="Arial" w:eastAsia="Arial" w:hAnsi="Arial"/>
          <w:b w:val="1"/>
          <w:sz w:val="24"/>
          <w:szCs w:val="24"/>
          <w:rtl w:val="0"/>
        </w:rPr>
        <w:t xml:space="preserve">Inclusive Repair Threshold</w:t>
      </w:r>
      <w:r w:rsidDel="00000000" w:rsidR="00000000" w:rsidRPr="00000000">
        <w:rPr>
          <w:rtl w:val="0"/>
        </w:rPr>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note that with the exception of emergencies or Business Critical Events, no activity with a value in excess of the agreed Inclusive Repair Threshold shall be undertaken without a Work Order. </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Where the costs of Reactive Maintenance Works exceed the Inclusive Repair Threshold, only the cost above this value shall be billed to the Buyer through the approval process as detailed in the Billable Works and Approvals Process.</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supply and install all parts associated with Reactive Maintenance Works at its own cost. The Supplier shall note that, for the avoidance of doubt, this requirement includes the replacement of entire Assets as well as component part of Assets where replacement is deemed appropriate.</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maximise the benefits of its own buying power by being granted access to and exploring other CCS frameworks and benchmarking against these before looking to their own supply agreements to offer the most advantageous commercial position to the Buyer to ensure value for money. Any negotiated discounts applied against current trade price levels shall be passed to the Buyer in full. Where appropriate the Supplier shall utilise the Buyer’s parts agreements, where any such agreements exist.</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source parts at the most cost effective terms having regard to quality and delivery time requirements. The Supplier and the Buyer shall agree in advance the use of refurbished parts where they are deemed to be cost beneficial without any loss of service or as required in order to achieve required return to full operational service.</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of emergencies or Business Critical Events, the Supplier may proceed with remedial action without prior approval from the Buyer. The Supplier shall seek formal approval from the Buyer by email and/or telephone as soon as is operationally possible, and shall keep the Buyer advised at all times on the technical and financial status of the task. The Buyer shall not unreasonably withhold approval of costs arising from emergencies and Business Critical Events; however the Supplier shall retrospectively commence the relevant approval process set out in paragraph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.1 by the next Working Day and complete such process as soon as reasonably practicable</w:t>
      </w:r>
      <w:r w:rsidDel="00000000" w:rsidR="00000000" w:rsidRPr="00000000">
        <w:rPr>
          <w:rtl w:val="0"/>
        </w:rPr>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before="24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Where works fall into the following categories, they are exclusions to Inclusive Repair Threshold and charges will be subject to review and agreement between the Supplier and the Buyer during Monthly contract performance meetings. Where charges apply, they will be considered via the Billable Works and Approvals Process. This will include but not be limited to unless otherwise stated at Call Off:</w:t>
      </w:r>
      <w:r w:rsidDel="00000000" w:rsidR="00000000" w:rsidRPr="00000000">
        <w:rPr>
          <w:rtl w:val="0"/>
        </w:rPr>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quipment Beyond Economic Repair, where costs, excluding management overhead and profit, exceed the Inclusive Repair Threshold;</w:t>
      </w:r>
      <w:r w:rsidDel="00000000" w:rsidR="00000000" w:rsidRPr="00000000">
        <w:rPr>
          <w:rtl w:val="0"/>
        </w:rPr>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misuse of an Asset and/or abuse of an Asset where this can be proven by the Supplier;</w:t>
      </w: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vandalism; </w:t>
      </w:r>
      <w:r w:rsidDel="00000000" w:rsidR="00000000" w:rsidRPr="00000000">
        <w:rPr>
          <w:rtl w:val="0"/>
        </w:rPr>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damage or failure if due to continued use by the Buyer or building user after fault has been diagnosed and the Supplier has advised the Buyer not to use the Asset;</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the building user not following the Buyer or manufacturer’s operating procedural standards;</w:t>
      </w:r>
      <w:r w:rsidDel="00000000" w:rsidR="00000000" w:rsidRPr="00000000">
        <w:rPr>
          <w:rtl w:val="0"/>
        </w:rPr>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other unapproved suppliers repairing Assets;</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water or cleaning fluid damage due to incorrect cleaning procedures by building users; </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damage or failure due to electrical supplies being interrupted or altered by others;</w:t>
      </w: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access denied to the Supplier where access had been agreed and prearranged;</w:t>
      </w:r>
      <w:r w:rsidDel="00000000" w:rsidR="00000000" w:rsidRPr="00000000">
        <w:rPr>
          <w:rtl w:val="0"/>
        </w:rPr>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buyer specifies a price variation;</w:t>
      </w:r>
      <w:r w:rsidDel="00000000" w:rsidR="00000000" w:rsidRPr="00000000">
        <w:rPr>
          <w:rtl w:val="0"/>
        </w:rPr>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fire, leaks, act of god, storm damage, floods or similar force majeure; unless caused by an act or failure of the Supplier;</w:t>
      </w:r>
      <w:r w:rsidDel="00000000" w:rsidR="00000000" w:rsidRPr="00000000">
        <w:rPr>
          <w:rtl w:val="0"/>
        </w:rPr>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Billable Works;</w:t>
      </w: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that part of the cost of the Reactive Maintenance Works for an event which exceeds the Inclusive Repair Threshold; and</w:t>
      </w:r>
      <w:r w:rsidDel="00000000" w:rsidR="00000000" w:rsidRPr="00000000">
        <w:rPr>
          <w:rtl w:val="0"/>
        </w:rPr>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rPr>
          <w:rFonts w:ascii="Arial" w:cs="Arial" w:eastAsia="Arial" w:hAnsi="Arial"/>
        </w:rPr>
      </w:pPr>
      <w:r w:rsidDel="00000000" w:rsidR="00000000" w:rsidRPr="00000000">
        <w:rPr>
          <w:rFonts w:ascii="Arial" w:cs="Arial" w:eastAsia="Arial" w:hAnsi="Arial"/>
          <w:color w:val="000000"/>
          <w:sz w:val="24"/>
          <w:szCs w:val="24"/>
          <w:rtl w:val="0"/>
        </w:rPr>
        <w:t xml:space="preserve">operator error by a building user, where this can be proven by the Supplier.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ind w:left="108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above listed works include works arising from Planned Maintenance.</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Rule="auto"/>
        <w:ind w:left="1080" w:hanging="720"/>
        <w:rPr>
          <w:rFonts w:ascii="Arial" w:cs="Arial" w:eastAsia="Arial" w:hAnsi="Arial"/>
        </w:rPr>
      </w:pPr>
      <w:r w:rsidDel="00000000" w:rsidR="00000000" w:rsidRPr="00000000">
        <w:rPr>
          <w:rFonts w:ascii="Arial" w:cs="Arial" w:eastAsia="Arial" w:hAnsi="Arial"/>
          <w:color w:val="000000"/>
          <w:sz w:val="24"/>
          <w:szCs w:val="24"/>
          <w:rtl w:val="0"/>
        </w:rPr>
        <w:t xml:space="preserve">A schedule of works arising from events listed in paragraph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.6 above shall be provided to the Buyer on a monthly basis and payment will be made through the defined approval process as agreed between the Buyer and the Supplier.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6C">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w:t>
    </w:r>
  </w:p>
  <w:p w:rsidR="00000000" w:rsidDel="00000000" w:rsidP="00000000" w:rsidRDefault="00000000" w:rsidRPr="00000000" w14:paraId="0000006D">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bookmarkStart w:colFirst="0" w:colLast="0" w:name="bookmark=id.3dy6vkm" w:id="9"/>
    <w:bookmarkEnd w:id="9"/>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v1.0</w:t>
    </w:r>
  </w:p>
  <w:p w:rsidR="00000000" w:rsidDel="00000000" w:rsidP="00000000" w:rsidRDefault="00000000" w:rsidRPr="00000000" w14:paraId="0000006F">
    <w:pPr>
      <w:spacing w:after="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bookmarkStart w:colFirst="0" w:colLast="0" w:name="_heading=h.4d34og8" w:id="8"/>
    <w:bookmarkEnd w:id="8"/>
    <w:r w:rsidDel="00000000" w:rsidR="00000000" w:rsidRPr="00000000">
      <w:rPr>
        <w:rFonts w:ascii="Arial" w:cs="Arial" w:eastAsia="Arial" w:hAnsi="Arial"/>
        <w:b w:val="1"/>
        <w:color w:val="000000"/>
        <w:sz w:val="20"/>
        <w:szCs w:val="20"/>
        <w:rtl w:val="0"/>
      </w:rPr>
      <w:t xml:space="preserve">Call-Off Schedule</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25</w:t>
    </w:r>
    <w:r w:rsidDel="00000000" w:rsidR="00000000" w:rsidRPr="00000000">
      <w:rPr>
        <w:rFonts w:ascii="Arial" w:cs="Arial" w:eastAsia="Arial" w:hAnsi="Arial"/>
        <w:b w:val="1"/>
        <w:color w:val="000000"/>
        <w:sz w:val="20"/>
        <w:szCs w:val="20"/>
        <w:rtl w:val="0"/>
      </w:rPr>
      <w:t xml:space="preserve"> (Billable Works and Projects) </w:t>
    </w:r>
  </w:p>
  <w:p w:rsidR="00000000" w:rsidDel="00000000" w:rsidP="00000000" w:rsidRDefault="00000000" w:rsidRPr="00000000" w14:paraId="00000063">
    <w:pPr>
      <w:tabs>
        <w:tab w:val="center" w:pos="4513"/>
        <w:tab w:val="right" w:pos="9026"/>
      </w:tabs>
      <w:spacing w:after="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64">
    <w:pPr>
      <w:tabs>
        <w:tab w:val="center" w:pos="4513"/>
        <w:tab w:val="right" w:pos="9026"/>
      </w:tabs>
      <w:spacing w:after="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08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1656" w:hanging="576"/>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9" w:hanging="864.0000000000002"/>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24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08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656" w:hanging="576"/>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520" w:hanging="864"/>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324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ind w:left="4320" w:hanging="720"/>
    </w:pPr>
    <w:rPr>
      <w:rFonts w:ascii="Times New Roman" w:cs="Times New Roman" w:eastAsia="Times New Roman" w:hAnsi="Times New Roman"/>
    </w:rPr>
  </w:style>
  <w:style w:type="paragraph" w:styleId="Heading6">
    <w:name w:val="heading 6"/>
    <w:basedOn w:val="Normal"/>
    <w:next w:val="Normal"/>
    <w:pPr>
      <w:spacing w:line="360" w:lineRule="auto"/>
      <w:ind w:left="4320" w:hanging="720"/>
    </w:pPr>
    <w:rPr>
      <w:rFonts w:ascii="Times New Roman" w:cs="Times New Roman" w:eastAsia="Times New Roman" w:hAnsi="Times New Roman"/>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3m"/>
    <w:basedOn w:val="Normal"/>
    <w:next w:val="Normal"/>
    <w:link w:val="Heading3Char"/>
    <w:uiPriority w:val="9"/>
    <w:semiHidden w:val="1"/>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link w:val="Heading4Char"/>
    <w:uiPriority w:val="9"/>
    <w:semiHidden w:val="1"/>
    <w:unhideWhenUsed w:val="1"/>
    <w:qFormat w:val="1"/>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val="1"/>
    <w:unhideWhenUsed w:val="1"/>
    <w:qFormat w:val="1"/>
    <w:pPr>
      <w:tabs>
        <w:tab w:val="num" w:pos="4320"/>
      </w:tabs>
      <w:overflowPunct w:val="1"/>
      <w:autoSpaceDE w:val="1"/>
      <w:autoSpaceDN w:val="1"/>
      <w:adjustRightInd w:val="1"/>
      <w:ind w:left="4320" w:hanging="720"/>
      <w:textAlignment w:val="auto"/>
      <w:outlineLvl w:val="4"/>
    </w:pPr>
    <w:rPr>
      <w:rFonts w:ascii="Times New Roman" w:cs="Times New Roman" w:hAnsi="Times New Roman" w:eastAsiaTheme="minorHAnsi"/>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pPr>
      <w:tabs>
        <w:tab w:val="num" w:pos="4320"/>
      </w:tabs>
      <w:overflowPunct w:val="1"/>
      <w:autoSpaceDE w:val="1"/>
      <w:autoSpaceDN w:val="1"/>
      <w:adjustRightInd w:val="1"/>
      <w:spacing w:line="360" w:lineRule="auto"/>
      <w:ind w:left="4320" w:hanging="720"/>
      <w:textAlignment w:val="auto"/>
      <w:outlineLvl w:val="5"/>
    </w:pPr>
    <w:rPr>
      <w:rFonts w:ascii="Times New Roman" w:cs="Times New Roman" w:hAnsi="Times New Roman" w:eastAsiaTheme="minorHAnsi"/>
      <w:lang w:eastAsia="zh-CN"/>
    </w:rPr>
  </w:style>
  <w:style w:type="paragraph" w:styleId="Heading7">
    <w:name w:val="heading 7"/>
    <w:aliases w:val="Legal Level 1.1.,Lev 7,Heading 7(unused),L2 PIP,H7DO NOT USE,PA Appendix Major,Blank 3,Heading 7 (Do Not Use)"/>
    <w:basedOn w:val="Normal"/>
    <w:link w:val="Heading7Char"/>
    <w:unhideWhenUsed w:val="1"/>
    <w:qFormat w:val="1"/>
    <w:pPr>
      <w:tabs>
        <w:tab w:val="num" w:pos="5040"/>
      </w:tabs>
      <w:overflowPunct w:val="1"/>
      <w:autoSpaceDE w:val="1"/>
      <w:autoSpaceDN w:val="1"/>
      <w:adjustRightInd w:val="1"/>
      <w:spacing w:line="360" w:lineRule="auto"/>
      <w:ind w:left="5040" w:hanging="720"/>
      <w:textAlignment w:val="auto"/>
      <w:outlineLvl w:val="6"/>
    </w:pPr>
    <w:rPr>
      <w:rFonts w:ascii="Times New Roman" w:cs="Times New Roman" w:hAnsi="Times New Roman" w:eastAsiaTheme="minorHAnsi"/>
      <w:lang w:eastAsia="zh-CN"/>
    </w:rPr>
  </w:style>
  <w:style w:type="paragraph" w:styleId="Heading8">
    <w:name w:val="heading 8"/>
    <w:aliases w:val="Heading 8 (Do Not Use),Legal Level 1.1.1.,Lev 8,h8 DO NOT USE,PA Appendix Minor"/>
    <w:basedOn w:val="Normal"/>
    <w:link w:val="Heading8Char"/>
    <w:qFormat w:val="1"/>
    <w:pPr>
      <w:tabs>
        <w:tab w:val="num" w:pos="5040"/>
      </w:tabs>
      <w:overflowPunct w:val="1"/>
      <w:autoSpaceDE w:val="1"/>
      <w:autoSpaceDN w:val="1"/>
      <w:ind w:left="5040" w:hanging="720"/>
      <w:textAlignment w:val="auto"/>
      <w:outlineLvl w:val="7"/>
    </w:pPr>
    <w:rPr>
      <w:rFonts w:ascii="Arial" w:cs="Times New Roman"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qFormat w:val="1"/>
    <w:pPr>
      <w:tabs>
        <w:tab w:val="num" w:pos="5040"/>
      </w:tabs>
      <w:overflowPunct w:val="1"/>
      <w:autoSpaceDE w:val="1"/>
      <w:autoSpaceDN w:val="1"/>
      <w:ind w:left="5040" w:hanging="720"/>
      <w:textAlignment w:val="auto"/>
      <w:outlineLvl w:val="8"/>
    </w:pPr>
    <w:rPr>
      <w:rFonts w:ascii="Arial" w:cs="Times New Roman" w:eastAsia="STZhongsong" w:hAnsi="Arial"/>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macrorestart" w:customStyle="1">
    <w:name w:val="GPS macro restart"/>
    <w:basedOn w:val="Normal"/>
    <w:qFormat w:val="1"/>
    <w:pPr>
      <w:spacing w:after="0"/>
    </w:pPr>
    <w:rPr>
      <w:color w:val="ffffff"/>
      <w:sz w:val="16"/>
      <w:szCs w:val="16"/>
    </w:rPr>
  </w:style>
  <w:style w:type="paragraph" w:styleId="TableNormal1" w:customStyle="1">
    <w:name w:val="Table Normal1"/>
    <w:basedOn w:val="Normal"/>
    <w:qFormat w:val="1"/>
    <w:pPr>
      <w:spacing w:after="120"/>
      <w:ind w:left="34"/>
    </w:pPr>
  </w:style>
  <w:style w:type="paragraph" w:styleId="TSOLScheduleNormalLeft" w:customStyle="1">
    <w:name w:val="TSOL Schedule Normal Left"/>
    <w:basedOn w:val="Normal"/>
    <w:qFormat w:val="1"/>
    <w:pPr>
      <w:ind w:left="142"/>
    </w:pPr>
  </w:style>
  <w:style w:type="character" w:styleId="GPSL1GuidanceChar" w:customStyle="1">
    <w:name w:val="GPS L1 Guidance Char"/>
    <w:link w:val="GPSL1Guidance"/>
    <w:locked w:val="1"/>
    <w:rPr>
      <w:rFonts w:ascii="Calibri" w:cs="Arial" w:eastAsia="Times New Roman" w:hAnsi="Calibri"/>
      <w:b w:val="1"/>
      <w:i w:val="1"/>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pPr>
      <w:widowControl w:val="0"/>
      <w:spacing w:after="80"/>
    </w:pPr>
    <w:rPr>
      <w:color w:val="000000"/>
    </w:rPr>
  </w:style>
  <w:style w:type="paragraph" w:styleId="GPSL1CLAUSEHEADING" w:customStyle="1">
    <w:name w:val="GPS L1 CLAUSE HEADING"/>
    <w:basedOn w:val="Normal"/>
    <w:next w:val="Normal"/>
    <w:link w:val="GPSL1CLAUSEHEADINGChar"/>
    <w:qFormat w:val="1"/>
    <w:pPr>
      <w:numPr>
        <w:numId w:val="2"/>
      </w:numPr>
      <w:tabs>
        <w:tab w:val="left" w:pos="0"/>
      </w:tabs>
      <w:overflowPunct w:val="1"/>
      <w:autoSpaceDE w:val="1"/>
      <w:autoSpaceDN w:val="1"/>
      <w:spacing w:before="240"/>
      <w:textAlignment w:val="auto"/>
      <w:outlineLvl w:val="1"/>
    </w:pPr>
    <w:rPr>
      <w:rFonts w:eastAsia="STZhongsong" w:asciiTheme="minorHAnsi" w:hAnsiTheme="minorHAnsi"/>
      <w:b w:val="1"/>
      <w:caps w:val="1"/>
      <w:lang w:eastAsia="zh-CN"/>
    </w:rPr>
  </w:style>
  <w:style w:type="character" w:styleId="GPSL1CLAUSEHEADINGChar" w:customStyle="1">
    <w:name w:val="GPS L1 CLAUSE HEADING Char"/>
    <w:link w:val="GPSL1CLAUSEHEADING"/>
    <w:rPr>
      <w:rFonts w:cs="Arial"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textAlignment w:val="auto"/>
    </w:pPr>
    <w:rPr>
      <w:lang w:eastAsia="zh-CN"/>
    </w:rPr>
  </w:style>
  <w:style w:type="paragraph" w:styleId="GPSL3numberedclause" w:customStyle="1">
    <w:name w:val="GPS L3 numbered clause"/>
    <w:basedOn w:val="GPSL2numberedclause"/>
    <w:link w:val="GPSL3numberedclauseChar"/>
    <w:qFormat w:val="1"/>
    <w:pPr>
      <w:numPr>
        <w:ilvl w:val="2"/>
        <w:numId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6numbered" w:customStyle="1">
    <w:name w:val="GPS L6 numbered"/>
    <w:basedOn w:val="GPSL5numberedclause"/>
    <w:qFormat w:val="1"/>
    <w:pPr>
      <w:numPr>
        <w:ilvl w:val="5"/>
      </w:numPr>
      <w:tabs>
        <w:tab w:val="left" w:pos="4253"/>
      </w:tabs>
    </w:p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1"/>
    <w:rPr>
      <w:rFonts w:asciiTheme="majorHAnsi" w:cstheme="majorBidi" w:eastAsiaTheme="majorEastAsia" w:hAnsiTheme="majorHAnsi"/>
      <w:b w:val="1"/>
      <w:bCs w:val="1"/>
      <w:color w:val="365f91" w:themeColor="accent1" w:themeShade="0000BF"/>
      <w:sz w:val="28"/>
      <w:szCs w:val="28"/>
    </w:rPr>
  </w:style>
  <w:style w:type="paragraph" w:styleId="BodyTextIndent">
    <w:name w:val="Body Text Indent"/>
    <w:basedOn w:val="Normal"/>
    <w:link w:val="BodyTextIndentChar"/>
    <w:unhideWhenUsed w:val="1"/>
    <w:pPr>
      <w:spacing w:after="120"/>
      <w:ind w:left="283"/>
    </w:pPr>
  </w:style>
  <w:style w:type="character" w:styleId="BodyTextIndentChar" w:customStyle="1">
    <w:name w:val="Body Text Indent Char"/>
    <w:basedOn w:val="DefaultParagraphFont"/>
    <w:link w:val="BodyTextIndent"/>
    <w:rPr>
      <w:rFonts w:ascii="Calibri" w:cs="Arial" w:eastAsia="Times New Roman" w:hAnsi="Calibri"/>
    </w:rPr>
  </w:style>
  <w:style w:type="paragraph" w:styleId="GPSL1SCHEDULEHeading" w:customStyle="1">
    <w:name w:val="GPS L1 SCHEDULE Heading"/>
    <w:basedOn w:val="GPSL1CLAUSEHEADING"/>
    <w:link w:val="GPSL1SCHEDULEHeadingChar"/>
    <w:qFormat w:val="1"/>
    <w:pPr>
      <w:numPr>
        <w:numId w:val="0"/>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paragraph" w:styleId="GPSL2Numbered" w:customStyle="1">
    <w:name w:val="GPS L2 Numbered"/>
    <w:basedOn w:val="Normal"/>
    <w:link w:val="GPSL2NumberedChar"/>
    <w:qFormat w:val="1"/>
    <w:pPr>
      <w:numPr>
        <w:ilvl w:val="1"/>
        <w:numId w:val="2"/>
      </w:numPr>
      <w:overflowPunct w:val="1"/>
      <w:autoSpaceDE w:val="1"/>
      <w:autoSpaceDN w:val="1"/>
      <w:spacing w:after="120" w:before="120"/>
      <w:textAlignment w:val="auto"/>
    </w:pPr>
    <w:rPr>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umberedBoldHeading" w:customStyle="1">
    <w:name w:val="GPS L2 Numbered Bold Heading"/>
    <w:basedOn w:val="Normal"/>
  </w:style>
  <w:style w:type="paragraph" w:styleId="BodyTextIndent2">
    <w:name w:val="Body Text Indent 2"/>
    <w:basedOn w:val="Normal"/>
    <w:link w:val="BodyTextIndent2Char"/>
    <w:unhideWhenUsed w:val="1"/>
    <w:pPr>
      <w:spacing w:after="120" w:line="480" w:lineRule="auto"/>
      <w:ind w:left="283"/>
    </w:pPr>
  </w:style>
  <w:style w:type="character" w:styleId="BodyTextIndent2Char" w:customStyle="1">
    <w:name w:val="Body Text Indent 2 Char"/>
    <w:basedOn w:val="DefaultParagraphFont"/>
    <w:link w:val="BodyTextIndent2"/>
    <w:uiPriority w:val="99"/>
    <w:rPr>
      <w:rFonts w:ascii="Calibri" w:cs="Arial" w:eastAsia="Times New Roman" w:hAnsi="Calibri"/>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Pr>
      <w:rFonts w:asciiTheme="majorHAnsi" w:cstheme="majorBidi" w:eastAsiaTheme="majorEastAsia" w:hAnsiTheme="majorHAnsi"/>
      <w:b w:val="1"/>
      <w:bCs w:val="1"/>
      <w:color w:val="4f81bd" w:themeColor="accent1"/>
      <w:sz w:val="26"/>
      <w:szCs w:val="26"/>
    </w:rPr>
  </w:style>
  <w:style w:type="paragraph" w:styleId="Revision">
    <w:name w:val="Revision"/>
    <w:hidden w:val="1"/>
    <w:uiPriority w:val="99"/>
    <w:semiHidden w:val="1"/>
    <w:pPr>
      <w:spacing w:after="0"/>
    </w:pPr>
    <w:rPr>
      <w:rFonts w:cs="Arial" w:eastAsia="Times New Roman"/>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Pr>
      <w:rFonts w:asciiTheme="majorHAnsi" w:cstheme="majorBidi" w:eastAsiaTheme="majorEastAsia" w:hAnsiTheme="majorHAnsi"/>
      <w:b w:val="1"/>
      <w:bCs w:val="1"/>
      <w:color w:val="4f81bd" w:themeColor="accent1"/>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6"/>
    <w:rPr>
      <w:rFonts w:asciiTheme="majorHAnsi" w:cstheme="majorBidi" w:eastAsiaTheme="majorEastAsia" w:hAnsiTheme="majorHAnsi"/>
      <w:b w:val="1"/>
      <w:bCs w:val="1"/>
      <w:i w:val="1"/>
      <w:iCs w:val="1"/>
      <w:color w:val="4f81bd" w:themeColor="accent1"/>
    </w:rPr>
  </w:style>
  <w:style w:type="character" w:styleId="Heading5Char" w:customStyle="1">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Pr>
      <w:rFonts w:ascii="Times New Roman" w:cs="Times New Roman" w:hAnsi="Times New Roman"/>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Pr>
      <w:rFonts w:ascii="Times New Roman" w:cs="Times New Roman" w:hAnsi="Times New Roman"/>
      <w:lang w:eastAsia="zh-CN"/>
    </w:rPr>
  </w:style>
  <w:style w:type="character" w:styleId="Heading7Char" w:customStyle="1">
    <w:name w:val="Heading 7 Char"/>
    <w:aliases w:val="Legal Level 1.1. Char,Lev 7 Char,Heading 7(unused) Char,L2 PIP Char,H7DO NOT USE Char,PA Appendix Major Char,Blank 3 Char,Heading 7 (Do Not Use) Char"/>
    <w:basedOn w:val="DefaultParagraphFont"/>
    <w:link w:val="Heading7"/>
    <w:uiPriority w:val="9"/>
    <w:semiHidden w:val="1"/>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
    <w:basedOn w:val="DefaultParagraphFont"/>
    <w:link w:val="Heading8"/>
    <w:rPr>
      <w:rFonts w:ascii="Arial" w:cs="Times New Roman" w:eastAsia="STZhongsong" w:hAnsi="Arial"/>
      <w:szCs w:val="20"/>
      <w:lang w:eastAsia="zh-CN"/>
    </w:rPr>
  </w:style>
  <w:style w:type="character" w:styleId="Heading9Char" w:customStyle="1">
    <w:name w:val="Heading 9 Char"/>
    <w:aliases w:val="Heading 9 (Do Not Use) Char,Heading 9 (defunct) Char,Legal Level 1.1.1.1. Char,Lev 9 Char,h9 DO NOT USE Char,App Heading Char,Titre 10 Char,App1 Char"/>
    <w:basedOn w:val="DefaultParagraphFont"/>
    <w:link w:val="Heading9"/>
    <w:rPr>
      <w:rFonts w:ascii="Arial" w:cs="Times New Roman" w:eastAsia="STZhongsong" w:hAnsi="Arial"/>
      <w:szCs w:val="20"/>
      <w:lang w:eastAsia="zh-CN"/>
    </w:rPr>
  </w:style>
  <w:style w:type="paragraph" w:styleId="DefinitionNumbering1" w:customStyle="1">
    <w:name w:val="Definition Numbering 1"/>
    <w:basedOn w:val="Normal"/>
    <w:pPr>
      <w:tabs>
        <w:tab w:val="num" w:pos="360"/>
      </w:tabs>
      <w:overflowPunct w:val="1"/>
      <w:autoSpaceDE w:val="1"/>
      <w:autoSpaceDN w:val="1"/>
      <w:spacing w:after="120"/>
      <w:ind w:left="360" w:hanging="720"/>
      <w:textAlignment w:val="auto"/>
      <w:outlineLvl w:val="0"/>
    </w:pPr>
    <w:rPr>
      <w:rFonts w:cs="Times New Roman" w:eastAsia="STZhongsong"/>
      <w:szCs w:val="20"/>
      <w:lang w:eastAsia="zh-CN"/>
    </w:rPr>
  </w:style>
  <w:style w:type="paragraph" w:styleId="DefinitionNumbering2" w:customStyle="1">
    <w:name w:val="Definition Numbering 2"/>
    <w:basedOn w:val="Normal"/>
    <w:pPr>
      <w:tabs>
        <w:tab w:val="num" w:pos="2520"/>
      </w:tabs>
      <w:overflowPunct w:val="1"/>
      <w:autoSpaceDE w:val="1"/>
      <w:autoSpaceDN w:val="1"/>
      <w:ind w:left="2520" w:hanging="1080"/>
      <w:textAlignment w:val="auto"/>
      <w:outlineLvl w:val="1"/>
    </w:pPr>
    <w:rPr>
      <w:rFonts w:ascii="Times New Roman" w:cs="Times New Roman" w:eastAsia="STZhongsong" w:hAnsi="Times New Roman"/>
      <w:szCs w:val="20"/>
      <w:lang w:eastAsia="zh-CN"/>
    </w:rPr>
  </w:style>
  <w:style w:type="paragraph" w:styleId="DefinitionNumbering3" w:customStyle="1">
    <w:name w:val="Definition Numbering 3"/>
    <w:basedOn w:val="Normal"/>
    <w:pPr>
      <w:tabs>
        <w:tab w:val="num" w:pos="3240"/>
      </w:tabs>
      <w:overflowPunct w:val="1"/>
      <w:autoSpaceDE w:val="1"/>
      <w:autoSpaceDN w:val="1"/>
      <w:ind w:left="3240" w:hanging="720"/>
      <w:textAlignment w:val="auto"/>
      <w:outlineLvl w:val="2"/>
    </w:pPr>
    <w:rPr>
      <w:rFonts w:ascii="Times New Roman" w:cs="Times New Roman" w:eastAsia="STZhongsong" w:hAnsi="Times New Roman"/>
      <w:szCs w:val="20"/>
      <w:lang w:eastAsia="zh-CN"/>
    </w:rPr>
  </w:style>
  <w:style w:type="paragraph" w:styleId="DefinitionNumbering4" w:customStyle="1">
    <w:name w:val="Definition Numbering 4"/>
    <w:basedOn w:val="Normal"/>
    <w:pPr>
      <w:tabs>
        <w:tab w:val="num" w:pos="2520"/>
      </w:tabs>
      <w:overflowPunct w:val="1"/>
      <w:autoSpaceDE w:val="1"/>
      <w:autoSpaceDN w:val="1"/>
      <w:ind w:left="2520" w:hanging="1080"/>
      <w:textAlignment w:val="auto"/>
      <w:outlineLvl w:val="3"/>
    </w:pPr>
    <w:rPr>
      <w:rFonts w:ascii="Times New Roman" w:cs="Times New Roman" w:eastAsia="STZhongsong" w:hAnsi="Times New Roman"/>
      <w:szCs w:val="20"/>
      <w:lang w:eastAsia="zh-CN"/>
    </w:rPr>
  </w:style>
  <w:style w:type="paragraph" w:styleId="DefinitionNumbering5" w:customStyle="1">
    <w:name w:val="Definition Numbering 5"/>
    <w:basedOn w:val="Normal"/>
    <w:pPr>
      <w:tabs>
        <w:tab w:val="num" w:pos="2520"/>
      </w:tabs>
      <w:overflowPunct w:val="1"/>
      <w:autoSpaceDE w:val="1"/>
      <w:autoSpaceDN w:val="1"/>
      <w:ind w:left="2520" w:hanging="1080"/>
      <w:textAlignment w:val="auto"/>
      <w:outlineLvl w:val="4"/>
    </w:pPr>
    <w:rPr>
      <w:rFonts w:ascii="Times New Roman" w:cs="Times New Roman" w:eastAsia="STZhongsong" w:hAnsi="Times New Roman"/>
      <w:szCs w:val="20"/>
      <w:lang w:eastAsia="zh-CN"/>
    </w:rPr>
  </w:style>
  <w:style w:type="paragraph" w:styleId="DefinitionNumbering6" w:customStyle="1">
    <w:name w:val="Definition Numbering 6"/>
    <w:basedOn w:val="Normal"/>
    <w:pPr>
      <w:tabs>
        <w:tab w:val="num" w:pos="2520"/>
      </w:tabs>
      <w:overflowPunct w:val="1"/>
      <w:autoSpaceDE w:val="1"/>
      <w:autoSpaceDN w:val="1"/>
      <w:ind w:left="2520" w:hanging="1080"/>
      <w:textAlignment w:val="auto"/>
      <w:outlineLvl w:val="5"/>
    </w:pPr>
    <w:rPr>
      <w:rFonts w:ascii="Times New Roman" w:cs="Times New Roman" w:eastAsia="STZhongsong" w:hAnsi="Times New Roman"/>
      <w:szCs w:val="20"/>
      <w:lang w:eastAsia="zh-CN"/>
    </w:rPr>
  </w:style>
  <w:style w:type="paragraph" w:styleId="DefinitionNumbering7" w:customStyle="1">
    <w:name w:val="Definition Numbering 7"/>
    <w:basedOn w:val="Normal"/>
    <w:pPr>
      <w:tabs>
        <w:tab w:val="num" w:pos="2520"/>
      </w:tabs>
      <w:overflowPunct w:val="1"/>
      <w:autoSpaceDE w:val="1"/>
      <w:autoSpaceDN w:val="1"/>
      <w:ind w:left="2520" w:hanging="1080"/>
      <w:textAlignment w:val="auto"/>
      <w:outlineLvl w:val="6"/>
    </w:pPr>
    <w:rPr>
      <w:rFonts w:ascii="Times New Roman" w:cs="Times New Roman" w:eastAsia="STZhongsong" w:hAnsi="Times New Roman"/>
      <w:szCs w:val="20"/>
      <w:lang w:eastAsia="zh-CN"/>
    </w:rPr>
  </w:style>
  <w:style w:type="paragraph" w:styleId="GPsDefinition" w:customStyle="1">
    <w:name w:val="GPs Definition"/>
    <w:basedOn w:val="Normal"/>
    <w:uiPriority w:val="99"/>
    <w:qFormat w:val="1"/>
    <w:pPr>
      <w:tabs>
        <w:tab w:val="left" w:pos="-9"/>
        <w:tab w:val="num" w:pos="720"/>
      </w:tabs>
      <w:spacing w:after="120"/>
      <w:ind w:left="720" w:hanging="720"/>
    </w:pPr>
    <w:rPr>
      <w:rFonts w:ascii="Arial" w:hAnsi="Arial"/>
    </w:rPr>
  </w:style>
  <w:style w:type="paragraph" w:styleId="GPSDefinitionL2" w:customStyle="1">
    <w:name w:val="GPS Definition L2"/>
    <w:basedOn w:val="GPsDefinition"/>
    <w:uiPriority w:val="99"/>
    <w:qFormat w:val="1"/>
    <w:pPr>
      <w:numPr>
        <w:ilvl w:val="1"/>
      </w:numPr>
      <w:tabs>
        <w:tab w:val="clear" w:pos="-9"/>
        <w:tab w:val="left" w:pos="144"/>
        <w:tab w:val="num" w:pos="720"/>
      </w:tabs>
      <w:ind w:left="720" w:hanging="545"/>
    </w:pPr>
  </w:style>
  <w:style w:type="paragraph" w:styleId="GPSDefinitionL3" w:customStyle="1">
    <w:name w:val="GPS Definition L3"/>
    <w:basedOn w:val="GPSDefinitionL2"/>
    <w:uiPriority w:val="99"/>
    <w:qFormat w:val="1"/>
    <w:pPr>
      <w:numPr>
        <w:ilvl w:val="2"/>
      </w:numPr>
      <w:tabs>
        <w:tab w:val="num" w:pos="720"/>
      </w:tabs>
      <w:ind w:left="720" w:hanging="545"/>
    </w:pPr>
  </w:style>
  <w:style w:type="paragraph" w:styleId="GPSDefinitionL4" w:customStyle="1">
    <w:name w:val="GPS Definition L4"/>
    <w:basedOn w:val="GPSDefinitionL3"/>
    <w:uiPriority w:val="99"/>
    <w:qFormat w:val="1"/>
    <w:pPr>
      <w:numPr>
        <w:ilvl w:val="3"/>
      </w:numPr>
      <w:tabs>
        <w:tab w:val="num" w:pos="720"/>
      </w:tabs>
      <w:ind w:left="720" w:hanging="545"/>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36D6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YDUb60b7aFwEmaF5/T95NMFLA==">AMUW2mWGcctHN3q5k6qGuGwm1wTSH9JGtpmLjtYqJsubEnXgEL2TtAcu30s9JytJU2KXcLYD4RSkWGlzcAS6O/t8lVG8eSl+VkOYuW2hbD9ljwsxX1XJOP9SMpIQPSlb1NJyv4XMGY+DHfDDu7fpfXvNcUZpMfpDO5peo5H1LuZyJH8Eznu9fRWjvYHgD012Fbo2QQ6wnBQDkzN+f4t8QK2TGjBlJypyIJcmjUaGJZ6LrsNJVKwNfZeYDgEGPyMqh7wUz6hg3P02IWPw+pMQ0Svs2+rLMWtXzguB4m++5ar7d/jDxDhbMEsmjj6SW9BkrVBMZ+HDHarb5xXAJfxsVzF19Z8+dqvsKACC0bJBY5SSQPIWiYw4A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2021-11-30T09:31:00Z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D1V9</vt:lpwstr>
  </property>
</Properties>
</file>