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left"/>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color w:val="000000"/>
          <w:sz w:val="36"/>
          <w:szCs w:val="36"/>
        </w:rPr>
      </w:pPr>
      <w:bookmarkStart w:colFirst="0" w:colLast="0" w:name="_heading=h.30j0zll" w:id="0"/>
      <w:bookmarkEnd w:id="0"/>
      <w:r w:rsidDel="00000000" w:rsidR="00000000" w:rsidRPr="00000000">
        <w:rPr>
          <w:rFonts w:ascii="Arial" w:cs="Arial" w:eastAsia="Arial" w:hAnsi="Arial"/>
          <w:b w:val="1"/>
          <w:color w:val="000000"/>
          <w:sz w:val="36"/>
          <w:szCs w:val="36"/>
          <w:rtl w:val="0"/>
        </w:rPr>
        <w:t xml:space="preserve">Call-Off Schedule 28 (TUPE Surcharge)</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color w:val="000000"/>
          <w:sz w:val="6"/>
          <w:szCs w:val="6"/>
        </w:rPr>
      </w:pPr>
      <w:bookmarkStart w:colFirst="0" w:colLast="0" w:name="_heading=h.oqd34042zczz" w:id="1"/>
      <w:bookmarkEnd w:id="1"/>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8"/>
        <w:gridCol w:w="4508"/>
        <w:tblGridChange w:id="0">
          <w:tblGrid>
            <w:gridCol w:w="4508"/>
            <w:gridCol w:w="4508"/>
          </w:tblGrid>
        </w:tblGridChange>
      </w:tblGrid>
      <w:tr>
        <w:trPr>
          <w:cantSplit w:val="0"/>
          <w:tblHeader w:val="0"/>
        </w:trPr>
        <w:tc>
          <w:tcPr>
            <w:gridSpan w:val="2"/>
          </w:tcPr>
          <w:p w:rsidR="00000000" w:rsidDel="00000000" w:rsidP="00000000" w:rsidRDefault="00000000" w:rsidRPr="00000000" w14:paraId="0000000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(i) Joint Schedule 1 (Definitions) and (ii) Call–Off Schedule 2 (Staff Transfer):</w:t>
            </w:r>
          </w:p>
        </w:tc>
      </w:tr>
      <w:tr>
        <w:trPr>
          <w:cantSplit w:val="0"/>
          <w:tblHeader w:val="0"/>
        </w:trPr>
        <w:tc>
          <w:tcPr/>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DEFINITION</w:t>
            </w:r>
          </w:p>
        </w:tc>
        <w:tc>
          <w:tcPr/>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MEANING</w:t>
            </w:r>
          </w:p>
        </w:tc>
      </w:tr>
      <w:tr>
        <w:trPr>
          <w:cantSplit w:val="0"/>
          <w:tblHeader w:val="0"/>
        </w:trPr>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“Annual Pension Cost”</w:t>
            </w:r>
          </w:p>
        </w:tc>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Employer Pension Contributions, subject to the Employer Pension Contribution Cap;</w:t>
            </w:r>
          </w:p>
        </w:tc>
      </w:tr>
      <w:tr>
        <w:trPr>
          <w:cantSplit w:val="0"/>
          <w:tblHeader w:val="0"/>
        </w:trPr>
        <w:tc>
          <w:tcP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“Direct Award TUPE Risk Premium”</w:t>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amount payable on an annual basis based on the difference between:</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tab/>
              <w:t xml:space="preserve">the costs to employ Transferring Former Supplier Employees or  where the Former Supplier becomes the Supplier those Former Supplier employees providing the Services at the Commencement Date and/or Transferring Buyer Employees (as the case may be); and</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tab/>
              <w:t xml:space="preserve">the equivalent costs to employ staff used by the Supplier at Further Competition,</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payments due under contracts of employment in respect of the following: </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w:t>
              <w:tab/>
              <w:t xml:space="preserve">annual salary;</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w:t>
              <w:tab/>
              <w:t xml:space="preserve">annual national insurance cost;</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w:t>
              <w:tab/>
              <w:t xml:space="preserve">Annual Pension Cost;</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w:t>
              <w:tab/>
              <w:t xml:space="preserve">annual life insurance cost;</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w:t>
              <w:tab/>
              <w:t xml:space="preserve">annual sick pay entitlement;</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w:t>
              <w:tab/>
              <w:t xml:space="preserve">maternity/paternity costs; and</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vii)</w:t>
              <w:tab/>
              <w:t xml:space="preserve">any other cost arising directly from the contract of employment of the Transferring Former Supplier Employee and or Transferring Buyer Employee,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set out in paragraph 1 of Call Off Schedule 28 (TUPE Surcharge);</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“Cost of Change”</w:t>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any costs that will be incurred in managing the transition of an individual who is listed as a TUPE employee, and will not be required to fulfil a role as part of the new contract, within the Call Off Pricing Matrix. Examples could include but not be limited to: staff consultation, redeployment costs, short-term salary cover associated with redeployment or release of labour, and temporary staffing;</w:t>
            </w:r>
          </w:p>
        </w:tc>
      </w:tr>
      <w:tr>
        <w:trPr>
          <w:cantSplit w:val="0"/>
          <w:tblHeader w:val="0"/>
        </w:trP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"Employer Pension Contribution"</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standard employer pension contributions paid in accordance with the relevant pension scheme rules and used in the calculation of the TUPE Risk Premium less any costs recoverable under Annex D3: LGPS of Part D Pensions of Schedule 2 Staff Transfer;</w:t>
            </w:r>
          </w:p>
        </w:tc>
      </w:tr>
      <w:tr>
        <w:trPr>
          <w:cantSplit w:val="0"/>
          <w:tblHeader w:val="0"/>
        </w:trPr>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"Employer Pension Contribution Cap"</w:t>
            </w:r>
          </w:p>
        </w:tc>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6% maximum rate of Employer Pension Contribution used in the calculation of the TUPE Risk Premium;</w:t>
            </w:r>
          </w:p>
        </w:tc>
      </w:tr>
      <w:tr>
        <w:trPr>
          <w:cantSplit w:val="0"/>
          <w:tblHeader w:val="0"/>
        </w:trPr>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“Fixed Fee TUPE Risk Premium”</w:t>
            </w:r>
          </w:p>
        </w:tc>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amount payable  on an annual basis based on the difference between:</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tab/>
              <w:t xml:space="preserve">the costs to employ Transferring Former Supplier Employees or  where the Former Supplier becomes the Supplier those Former Supplier employees providing the Services at the Commencement Date and/or Transferring Buyer Employees (as the case may be); and</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tab/>
              <w:t xml:space="preserve">the equivalent costs to employ staff used by the Supplier at Further Competition,</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payments due under contracts of employment in respect of the following: </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w:t>
              <w:tab/>
              <w:t xml:space="preserve">annual salary;</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w:t>
              <w:tab/>
              <w:t xml:space="preserve">annual national insurance cost;</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w:t>
              <w:tab/>
              <w:t xml:space="preserve">annual Pension Cost;</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w:t>
              <w:tab/>
              <w:t xml:space="preserve">annual life insurance cost;</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w:t>
              <w:tab/>
              <w:t xml:space="preserve">annual sick pay entitlement;</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w:t>
              <w:tab/>
              <w:t xml:space="preserve">maternity/paternity costs; and</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vii)</w:t>
              <w:tab/>
              <w:t xml:space="preserve">any other cost arising directly from the contract of employment of the Transferring Former Supplier Employee and or Transferring Buyer Employee,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set out in paragraph 3 of Call Off Schedule 28 (TUPE Surcharge);</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"Further Competition TUPE Risk Premium"</w:t>
            </w:r>
          </w:p>
        </w:tc>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amount payable  on an annual basis based on the difference between:</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tab/>
              <w:t xml:space="preserve">the costs to employ Transferring Former Supplier Employees or  where the Former Supplier becomes the Supplier those Former Supplier employees providing the Services at the Commencement Date and/or Transferring Buyer Employees (as the case may be); and</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tab/>
              <w:t xml:space="preserve">the equivalent costs to employ staff used by the Supplier at Further Competition,</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payments due under contracts of employment in respect of the following: </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w:t>
              <w:tab/>
              <w:t xml:space="preserve">annual salary;</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w:t>
              <w:tab/>
              <w:t xml:space="preserve">annual national insurance cost;</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w:t>
              <w:tab/>
              <w:t xml:space="preserve">Annual Pension Cost;</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w:t>
              <w:tab/>
              <w:t xml:space="preserve">annual life insurance cost;</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w:t>
              <w:tab/>
              <w:t xml:space="preserve">annual sick pay entitlement;</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w:t>
              <w:tab/>
              <w:t xml:space="preserve">maternity/paternity costs; and</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vii)</w:t>
              <w:tab/>
              <w:t xml:space="preserve">any other cost arising directly from the contract of employment of the Transferring Former Supplier Employee and or Transferring Buyer Employee, </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set out in paragraph 2 of Call Off Schedule 28 (TUPE Surcharge);</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Labour Count</w:t>
            </w:r>
            <w:r w:rsidDel="00000000" w:rsidR="00000000" w:rsidRPr="00000000">
              <w:rPr>
                <w:rtl w:val="0"/>
              </w:rPr>
            </w:r>
          </w:p>
        </w:tc>
        <w:tc>
          <w:tcP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means</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  the total number of Transferring Former Supplier Employees and/or</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  Transferring Employer Employees identified in the Supplier’s solution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"Other Pension Cost"</w:t>
            </w:r>
          </w:p>
        </w:tc>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75"/>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75"/>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in respect of CSPS Eligible Employees those sums set out at Clauses 7.1.1 (annual administration charges covering core services), 7.1.5 (employer contributions), 7.1.7 (the ASLC) and 7.1.8 (flat charges applicable to the Partnership Pension Account) of the CSPS Admission Agreement;</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75"/>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in respect of NHSPS Eligible Employees, the standard employer contribution rate applicable to NHS Pensions employers during the Contract Period and payable by the Supplier (but no other costs, contributions, charges or surcharges payable by the Supplier to or in respect of NHS Pensions or in respect of any NHS Premature Retirement Rights, unless otherwise agreed in writing by the Buyer);</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75"/>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in respect of LGPS Eligible Employees, the standard employer contribution rate applicable to LGPS Eligible Employees during the Contract Period and payable by the Supplier such sums expressed and set out in the rates and adjustments certificate under regulation 62 of the LGPS Regulations (but no other costs, contributions, charges or surcharges payable by the Supplier to or in respect of the LGPS unless otherwise agreed in writing by the Authority) less any costs recoverable under Annex D3: LGPS of Part D Pensions of Schedule 2 Staff Transfer; and </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175"/>
                <w:tab w:val="left" w:pos="-179"/>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such other pension contributions, charges or costs incurred by the Supplier which have been expressly agreed by the Buyer in writing to constitute “Other Pension Costs”</w:t>
            </w:r>
          </w:p>
        </w:tc>
      </w:tr>
      <w:tr>
        <w:trPr>
          <w:cantSplit w:val="0"/>
          <w:tblHeader w:val="0"/>
        </w:trPr>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lineRule="auto"/>
              <w:ind w:left="-108"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"TUPE Count"</w:t>
            </w:r>
          </w:p>
        </w:tc>
        <w:tc>
          <w:tcP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175"/>
                <w:tab w:val="left" w:pos="-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total number of Transferring Former Supplier Employees and/or Transferring Buyer Employees identified in the Employee Liability  Information;</w:t>
            </w:r>
          </w:p>
        </w:tc>
      </w:tr>
      <w:tr>
        <w:trPr>
          <w:cantSplit w:val="0"/>
          <w:tblHeader w:val="0"/>
        </w:trPr>
        <w:tc>
          <w:tcPr>
            <w:vAlign w:val="center"/>
          </w:tcPr>
          <w:p w:rsidR="00000000" w:rsidDel="00000000" w:rsidP="00000000" w:rsidRDefault="00000000" w:rsidRPr="00000000" w14:paraId="00000047">
            <w:pPr>
              <w:ind w:left="7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"TUPE Risk Premium"</w:t>
            </w:r>
          </w:p>
        </w:tc>
        <w:tc>
          <w:tcP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175"/>
                <w:tab w:val="left" w:pos="-17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either the:</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75"/>
                <w:tab w:val="left" w:pos="-17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tab/>
              <w:t xml:space="preserve">Direct Award TUPE Risk Premium;</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75"/>
                <w:tab w:val="left" w:pos="-179"/>
              </w:tabs>
              <w:spacing w:after="120" w:lineRule="auto"/>
              <w:jc w:val="left"/>
              <w:rPr>
                <w:rFonts w:ascii="Arial" w:cs="Arial" w:eastAsia="Arial" w:hAnsi="Arial"/>
                <w:color w:val="000000"/>
                <w:sz w:val="24"/>
                <w:szCs w:val="24"/>
              </w:rPr>
            </w:pPr>
            <w:bookmarkStart w:colFirst="0" w:colLast="0" w:name="_heading=h.2s8eyo1" w:id="2"/>
            <w:bookmarkEnd w:id="2"/>
            <w:r w:rsidDel="00000000" w:rsidR="00000000" w:rsidRPr="00000000">
              <w:rPr>
                <w:rFonts w:ascii="Arial" w:cs="Arial" w:eastAsia="Arial" w:hAnsi="Arial"/>
                <w:color w:val="000000"/>
                <w:sz w:val="24"/>
                <w:szCs w:val="24"/>
                <w:rtl w:val="0"/>
              </w:rPr>
              <w:t xml:space="preserve">b)</w:t>
              <w:tab/>
              <w:t xml:space="preserve">Further Competition TUPE Risk Premium; or</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175"/>
                <w:tab w:val="left" w:pos="-17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tab/>
              <w:t xml:space="preserve">Fixed Fee TUPE Risk Premium,</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75"/>
                <w:tab w:val="left" w:pos="-17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the context requires;</w:t>
            </w:r>
          </w:p>
        </w:tc>
      </w:tr>
      <w:tr>
        <w:trPr>
          <w:cantSplit w:val="0"/>
          <w:tblHeader w:val="0"/>
        </w:trPr>
        <w:tc>
          <w:tcPr>
            <w:vAlign w:val="center"/>
          </w:tcPr>
          <w:p w:rsidR="00000000" w:rsidDel="00000000" w:rsidP="00000000" w:rsidRDefault="00000000" w:rsidRPr="00000000" w14:paraId="0000004D">
            <w:pPr>
              <w:ind w:left="72"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"TUPE Risk Premium Average"</w:t>
            </w:r>
          </w:p>
        </w:tc>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75"/>
                <w:tab w:val="left" w:pos="-17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average  calculated by dividing the Further Competition TUPE Risk Premium by the lower of either:</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75"/>
                <w:tab w:val="left" w:pos="-17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tab/>
              <w:t xml:space="preserve">Labour Count; or</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75"/>
                <w:tab w:val="left" w:pos="-179"/>
              </w:tabs>
              <w:spacing w:after="12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tab/>
              <w:t xml:space="preserve">the TUPE Count.</w:t>
            </w:r>
          </w:p>
        </w:tc>
      </w:tr>
    </w:tbl>
    <w:p w:rsidR="00000000" w:rsidDel="00000000" w:rsidP="00000000" w:rsidRDefault="00000000" w:rsidRPr="00000000" w14:paraId="00000051">
      <w:pPr>
        <w:keepNext w:val="1"/>
        <w:pBdr>
          <w:top w:space="0" w:sz="0" w:val="nil"/>
          <w:left w:space="0" w:sz="0" w:val="nil"/>
          <w:bottom w:space="0" w:sz="0" w:val="nil"/>
          <w:right w:space="0" w:sz="0" w:val="nil"/>
          <w:between w:space="0" w:sz="0" w:val="nil"/>
        </w:pBdr>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52">
      <w:pPr>
        <w:keepNext w:val="1"/>
        <w:pBdr>
          <w:top w:space="0" w:sz="0" w:val="nil"/>
          <w:left w:space="0" w:sz="0" w:val="nil"/>
          <w:bottom w:space="0" w:sz="0" w:val="nil"/>
          <w:right w:space="0" w:sz="0" w:val="nil"/>
          <w:between w:space="0" w:sz="0" w:val="nil"/>
        </w:pBdr>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tabs>
          <w:tab w:val="left" w:pos="1134"/>
        </w:tabs>
        <w:spacing w:after="120" w:before="120" w:lineRule="auto"/>
        <w:ind w:left="502" w:hanging="360"/>
        <w:rPr>
          <w:color w:val="000000"/>
          <w:sz w:val="24"/>
          <w:szCs w:val="24"/>
        </w:rPr>
      </w:pPr>
      <w:r w:rsidDel="00000000" w:rsidR="00000000" w:rsidRPr="00000000">
        <w:rPr>
          <w:rFonts w:ascii="Arial" w:cs="Arial" w:eastAsia="Arial" w:hAnsi="Arial"/>
          <w:b w:val="1"/>
          <w:color w:val="000000"/>
          <w:sz w:val="24"/>
          <w:szCs w:val="24"/>
          <w:rtl w:val="0"/>
        </w:rPr>
        <w:t xml:space="preserve">Option 1 – Direct Award – TUPE Risk Premium </w:t>
      </w:r>
      <w:r w:rsidDel="00000000" w:rsidR="00000000" w:rsidRPr="00000000">
        <w:rPr>
          <w:rtl w:val="0"/>
        </w:rPr>
      </w:r>
    </w:p>
    <w:p w:rsidR="00000000" w:rsidDel="00000000" w:rsidP="00000000" w:rsidRDefault="00000000" w:rsidRPr="00000000" w14:paraId="00000054">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Direct Award TUPE Risk Premium shall be priced for during the Mobilisation Period (as agreed by the Buyer) and shall follow the process described within Option 2 – Further Competition TUPE Risk Premium.</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134"/>
        </w:tabs>
        <w:spacing w:after="120" w:before="120" w:lineRule="auto"/>
        <w:ind w:left="936"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tabs>
          <w:tab w:val="left" w:pos="1134"/>
        </w:tabs>
        <w:spacing w:after="120" w:before="120" w:lineRule="auto"/>
        <w:ind w:left="502" w:hanging="360"/>
        <w:rPr>
          <w:rFonts w:ascii="Arial" w:cs="Arial" w:eastAsia="Arial" w:hAnsi="Arial"/>
          <w:b w:val="1"/>
          <w:color w:val="000000"/>
          <w:sz w:val="24"/>
          <w:szCs w:val="24"/>
        </w:rPr>
      </w:pPr>
      <w:bookmarkStart w:colFirst="0" w:colLast="0" w:name="_heading=h.3znysh7" w:id="3"/>
      <w:bookmarkEnd w:id="3"/>
      <w:r w:rsidDel="00000000" w:rsidR="00000000" w:rsidRPr="00000000">
        <w:rPr>
          <w:rFonts w:ascii="Arial" w:cs="Arial" w:eastAsia="Arial" w:hAnsi="Arial"/>
          <w:b w:val="1"/>
          <w:color w:val="000000"/>
          <w:sz w:val="24"/>
          <w:szCs w:val="24"/>
          <w:rtl w:val="0"/>
        </w:rPr>
        <w:t xml:space="preserve">Option 2- Further Competition TUPE Risk Premium</w:t>
      </w:r>
    </w:p>
    <w:p w:rsidR="00000000" w:rsidDel="00000000" w:rsidP="00000000" w:rsidRDefault="00000000" w:rsidRPr="00000000" w14:paraId="00000057">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Further Competition TUPE Risk Premium shall be priced for at Further Competition as set out in Annex 1 - Call Off Schedule 5 (Pricing Details)</w:t>
      </w:r>
    </w:p>
    <w:p w:rsidR="00000000" w:rsidDel="00000000" w:rsidP="00000000" w:rsidRDefault="00000000" w:rsidRPr="00000000" w14:paraId="00000058">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Relevant Transfer takes place, or will take place, the Supplier shall, no later than 20 Working Days after the Relevant Transfer Date, submit to the Buyer:</w:t>
      </w:r>
    </w:p>
    <w:p w:rsidR="00000000" w:rsidDel="00000000" w:rsidP="00000000" w:rsidRDefault="00000000" w:rsidRPr="00000000" w14:paraId="00000059">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notice that no adjustment is required and the Further Competition TUPE Risk Premium submitted at Call-Off Tender will be used. </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1985"/>
        </w:tabs>
        <w:spacing w:after="120" w:before="120" w:lineRule="auto"/>
        <w:ind w:left="261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w:t>
      </w:r>
    </w:p>
    <w:p w:rsidR="00000000" w:rsidDel="00000000" w:rsidP="00000000" w:rsidRDefault="00000000" w:rsidRPr="00000000" w14:paraId="0000005B">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its updated calculation of the Further Competition TUPE Risk Premium together with a breakdown and supporting evidence as may be reasonably required for the Buyer to corroborate and assess the calculation of the Further Competition TUPE Risk Premium.</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134"/>
        </w:tabs>
        <w:spacing w:after="120" w:before="120" w:lineRule="auto"/>
        <w:ind w:left="936"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36" w:hanging="5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Further Competition TUPE Risk Premium, when post award adjustment</w:t>
      </w:r>
    </w:p>
    <w:p w:rsidR="00000000" w:rsidDel="00000000" w:rsidP="00000000" w:rsidRDefault="00000000" w:rsidRPr="00000000" w14:paraId="0000005E">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bookmarkStart w:colFirst="0" w:colLast="0" w:name="_heading=h.2et92p0" w:id="4"/>
      <w:bookmarkEnd w:id="4"/>
      <w:r w:rsidDel="00000000" w:rsidR="00000000" w:rsidRPr="00000000">
        <w:rPr>
          <w:rFonts w:ascii="Arial" w:cs="Arial" w:eastAsia="Arial" w:hAnsi="Arial"/>
          <w:color w:val="000000"/>
          <w:sz w:val="24"/>
          <w:szCs w:val="24"/>
          <w:rtl w:val="0"/>
        </w:rPr>
        <w:t xml:space="preserve">The Supplier may request a Further Competition TUPE Risk Premium adjustment, and the Buyer may grant the request, if:</w:t>
      </w:r>
    </w:p>
    <w:p w:rsidR="00000000" w:rsidDel="00000000" w:rsidP="00000000" w:rsidRDefault="00000000" w:rsidRPr="00000000" w14:paraId="0000005F">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can evidence any inaccuracies or omissions in the information in the following areas provided during the Further Competition: </w:t>
      </w:r>
    </w:p>
    <w:p w:rsidR="00000000" w:rsidDel="00000000" w:rsidP="00000000" w:rsidRDefault="00000000" w:rsidRPr="00000000" w14:paraId="00000060">
      <w:pPr>
        <w:numPr>
          <w:ilvl w:val="4"/>
          <w:numId w:val="2"/>
        </w:numPr>
        <w:pBdr>
          <w:top w:space="0" w:sz="0" w:val="nil"/>
          <w:left w:space="0" w:sz="0" w:val="nil"/>
          <w:bottom w:space="0" w:sz="0" w:val="nil"/>
          <w:right w:space="0" w:sz="0" w:val="nil"/>
          <w:between w:space="0" w:sz="0" w:val="nil"/>
        </w:pBdr>
        <w:tabs>
          <w:tab w:val="left" w:pos="1985"/>
        </w:tabs>
        <w:spacing w:after="120" w:before="120" w:lineRule="auto"/>
        <w:ind w:left="315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TUPE Count; </w:t>
      </w:r>
    </w:p>
    <w:p w:rsidR="00000000" w:rsidDel="00000000" w:rsidP="00000000" w:rsidRDefault="00000000" w:rsidRPr="00000000" w14:paraId="00000061">
      <w:pPr>
        <w:numPr>
          <w:ilvl w:val="4"/>
          <w:numId w:val="2"/>
        </w:numPr>
        <w:pBdr>
          <w:top w:space="0" w:sz="0" w:val="nil"/>
          <w:left w:space="0" w:sz="0" w:val="nil"/>
          <w:bottom w:space="0" w:sz="0" w:val="nil"/>
          <w:right w:space="0" w:sz="0" w:val="nil"/>
          <w:between w:space="0" w:sz="0" w:val="nil"/>
        </w:pBdr>
        <w:tabs>
          <w:tab w:val="left" w:pos="1985"/>
        </w:tabs>
        <w:spacing w:after="120" w:before="120" w:lineRule="auto"/>
        <w:ind w:left="3150"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costs covered by the  Further Competition TUPE Risk Premium; and/or</w:t>
      </w:r>
    </w:p>
    <w:p w:rsidR="00000000" w:rsidDel="00000000" w:rsidP="00000000" w:rsidRDefault="00000000" w:rsidRPr="00000000" w14:paraId="00000062">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are any other unknown costs arising directly from the contract of employment of the Transferring Former Supplier Employee and/or Transferring Buyer Employee, </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where a full breakdown and supporting evidence is submitted in support of a request to adjust the Further Competition TUPE Risk Premium. </w:t>
      </w:r>
    </w:p>
    <w:p w:rsidR="00000000" w:rsidDel="00000000" w:rsidP="00000000" w:rsidRDefault="00000000" w:rsidRPr="00000000" w14:paraId="00000064">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receipt of the Suppliers calculation of the Further Competition TUPE Risk Premium and, if applicable, a request for a Further Competition TUPE Risk Premium adjustment, the Buyer shall either:</w:t>
      </w:r>
    </w:p>
    <w:p w:rsidR="00000000" w:rsidDel="00000000" w:rsidP="00000000" w:rsidRDefault="00000000" w:rsidRPr="00000000" w14:paraId="00000065">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the Supplier in writing of acceptance of the Further Competition TUPE Risk Premium and, if applicable, the Further Competition TUPE Risk Premium adjustment relating to the Relevant Transfer; </w:t>
      </w:r>
    </w:p>
    <w:p w:rsidR="00000000" w:rsidDel="00000000" w:rsidP="00000000" w:rsidRDefault="00000000" w:rsidRPr="00000000" w14:paraId="00000066">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further information/evidence; and/or</w:t>
      </w:r>
    </w:p>
    <w:p w:rsidR="00000000" w:rsidDel="00000000" w:rsidP="00000000" w:rsidRDefault="00000000" w:rsidRPr="00000000" w14:paraId="00000067">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a meeting to discuss/clarify the evidence provided.</w:t>
      </w:r>
    </w:p>
    <w:p w:rsidR="00000000" w:rsidDel="00000000" w:rsidP="00000000" w:rsidRDefault="00000000" w:rsidRPr="00000000" w14:paraId="00000068">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Further Competition TUPE Risk Premium is agreed following the receipt of further information/evidence or following a meeting, the Buyer shall notify the Supplier in writing and confirm the Further Competition TUPE Risk Premium to apply. </w:t>
      </w:r>
    </w:p>
    <w:p w:rsidR="00000000" w:rsidDel="00000000" w:rsidP="00000000" w:rsidRDefault="00000000" w:rsidRPr="00000000" w14:paraId="00000069">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requests a Further Competition TUPE Risk Premium adjustment and it is agreed by the Buyer, the Further Competition TUPE Risk Premium shall be adjusted accordingly.</w:t>
      </w:r>
    </w:p>
    <w:p w:rsidR="00000000" w:rsidDel="00000000" w:rsidP="00000000" w:rsidRDefault="00000000" w:rsidRPr="00000000" w14:paraId="0000006A">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the Parties are unable to agree either the Further Competition TUPE Risk Premium or, if applicable, the Further Competition TUPE Risk Premium adjustment, the Parties shall follow the Dispute Resolution Procedure.</w:t>
      </w:r>
    </w:p>
    <w:p w:rsidR="00000000" w:rsidDel="00000000" w:rsidP="00000000" w:rsidRDefault="00000000" w:rsidRPr="00000000" w14:paraId="0000006B">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agreement of the Further Competition TUPE Risk Premium the Further Competition TUPE Risk Premium Average shall be calculated and this will be used as the basis for the  annual  review of the Further Competition TUPE Risk Premium.</w:t>
      </w:r>
    </w:p>
    <w:p w:rsidR="00000000" w:rsidDel="00000000" w:rsidP="00000000" w:rsidRDefault="00000000" w:rsidRPr="00000000" w14:paraId="0000006C">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36" w:hanging="576"/>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Annual review of Further Competition TUPE Risk Premium</w:t>
      </w:r>
      <w:r w:rsidDel="00000000" w:rsidR="00000000" w:rsidRPr="00000000">
        <w:rPr>
          <w:rtl w:val="0"/>
        </w:rPr>
      </w:r>
    </w:p>
    <w:p w:rsidR="00000000" w:rsidDel="00000000" w:rsidP="00000000" w:rsidRDefault="00000000" w:rsidRPr="00000000" w14:paraId="0000006D">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Further Competition TUPE Risk Premium shall be reviewed by the Buyer at the commencement of each Contract Year.</w:t>
      </w:r>
    </w:p>
    <w:p w:rsidR="00000000" w:rsidDel="00000000" w:rsidP="00000000" w:rsidRDefault="00000000" w:rsidRPr="00000000" w14:paraId="0000006E">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bookmarkStart w:colFirst="0" w:colLast="0" w:name="_heading=h.tyjcwt" w:id="5"/>
      <w:bookmarkEnd w:id="5"/>
      <w:r w:rsidDel="00000000" w:rsidR="00000000" w:rsidRPr="00000000">
        <w:rPr>
          <w:rFonts w:ascii="Arial" w:cs="Arial" w:eastAsia="Arial" w:hAnsi="Arial"/>
          <w:color w:val="000000"/>
          <w:sz w:val="24"/>
          <w:szCs w:val="24"/>
          <w:rtl w:val="0"/>
        </w:rPr>
        <w:t xml:space="preserve">The Supplier shall submit to the Buyer, no later than 20 Working Days prior to the beginning of each Contract Year, evidence of any change to the TUPE Count in the previous Contract Year or since it was last adjusted. </w:t>
      </w:r>
    </w:p>
    <w:p w:rsidR="00000000" w:rsidDel="00000000" w:rsidP="00000000" w:rsidRDefault="00000000" w:rsidRPr="00000000" w14:paraId="0000006F">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TUPE Count is less than the TUPE Count in the previous Contract Year, the Further Competition TUPE Risk Premium shall be adjusted using the following calculation:</w:t>
      </w:r>
    </w:p>
    <w:p w:rsidR="00000000" w:rsidDel="00000000" w:rsidP="00000000" w:rsidRDefault="00000000" w:rsidRPr="00000000" w14:paraId="00000070">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Difference in TUPE Count (Previous Contract Year less current Contract Year) x TUPE Risk Premium Average.</w:t>
      </w:r>
    </w:p>
    <w:p w:rsidR="00000000" w:rsidDel="00000000" w:rsidP="00000000" w:rsidRDefault="00000000" w:rsidRPr="00000000" w14:paraId="00000071">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cease to be liable to pay the Further Competition TUPE Risk Premium Average in respect of a particular Transferring Former Supplier Employee or a Transferring Buyer Employee from the date upon which he ceases to be employed by the Supplier or engaged on this Contract (whichever occurs the earliest).</w:t>
      </w:r>
    </w:p>
    <w:p w:rsidR="00000000" w:rsidDel="00000000" w:rsidP="00000000" w:rsidRDefault="00000000" w:rsidRPr="00000000" w14:paraId="00000072">
      <w:pPr>
        <w:numPr>
          <w:ilvl w:val="3"/>
          <w:numId w:val="2"/>
        </w:numPr>
        <w:pBdr>
          <w:top w:space="0" w:sz="0" w:val="nil"/>
          <w:left w:space="0" w:sz="0" w:val="nil"/>
          <w:bottom w:space="0" w:sz="0" w:val="nil"/>
          <w:right w:space="0" w:sz="0" w:val="nil"/>
          <w:between w:space="0" w:sz="0" w:val="nil"/>
        </w:pBdr>
        <w:tabs>
          <w:tab w:val="left" w:pos="1985"/>
        </w:tabs>
        <w:spacing w:after="120" w:lineRule="auto"/>
        <w:ind w:left="2733" w:hanging="93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 employee ceases to be employed part way through the year, the TUPE Risk Premium Average allocated to that employee will be deducted on a pro rata basis.</w:t>
      </w:r>
    </w:p>
    <w:p w:rsidR="00000000" w:rsidDel="00000000" w:rsidP="00000000" w:rsidRDefault="00000000" w:rsidRPr="00000000" w14:paraId="00000073">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receipt of the Supplier’s calculation of the Further Competition TUPE Risk Premium submitted pursuant to paragraph 2.3.2 the Buyer shall either:</w:t>
      </w:r>
    </w:p>
    <w:p w:rsidR="00000000" w:rsidDel="00000000" w:rsidP="00000000" w:rsidRDefault="00000000" w:rsidRPr="00000000" w14:paraId="00000074">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the Supplier in writing of acceptance of the adjusted Further Competition TUPE Risk Premium; or </w:t>
      </w:r>
    </w:p>
    <w:p w:rsidR="00000000" w:rsidDel="00000000" w:rsidP="00000000" w:rsidRDefault="00000000" w:rsidRPr="00000000" w14:paraId="00000075">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further information/evidence; and/or</w:t>
      </w:r>
    </w:p>
    <w:p w:rsidR="00000000" w:rsidDel="00000000" w:rsidP="00000000" w:rsidRDefault="00000000" w:rsidRPr="00000000" w14:paraId="00000076">
      <w:pPr>
        <w:numPr>
          <w:ilvl w:val="3"/>
          <w:numId w:val="2"/>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a meeting to discuss/clarify the evidence provided.</w:t>
      </w:r>
    </w:p>
    <w:p w:rsidR="00000000" w:rsidDel="00000000" w:rsidP="00000000" w:rsidRDefault="00000000" w:rsidRPr="00000000" w14:paraId="00000077">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adjustment to the Further Competition TUPE Risk Premium is agreed following the receipt of further information/evidence or following a meeting, the Buyer shall notify the Supplier in writing and confirm the Further Competition TUPE Risk Premium that will apply. </w:t>
      </w:r>
    </w:p>
    <w:p w:rsidR="00000000" w:rsidDel="00000000" w:rsidP="00000000" w:rsidRDefault="00000000" w:rsidRPr="00000000" w14:paraId="00000078">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the Supplier and the Buyer are unable to agree the adjustment to the Further Competition TUPE Risk Premium, they shall follow the Dispute Resolution Procedure.</w:t>
      </w:r>
    </w:p>
    <w:p w:rsidR="00000000" w:rsidDel="00000000" w:rsidP="00000000" w:rsidRDefault="00000000" w:rsidRPr="00000000" w14:paraId="00000079">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adjusted Further Competition TUPE Risk Premium shall be used as the benchmark in the subsequent annual review of the Further Competition TUPE Risk Premium.</w:t>
      </w:r>
    </w:p>
    <w:p w:rsidR="00000000" w:rsidDel="00000000" w:rsidP="00000000" w:rsidRDefault="00000000" w:rsidRPr="00000000" w14:paraId="0000007A">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bookmarkStart w:colFirst="0" w:colLast="0" w:name="_heading=h.4d34og8" w:id="6"/>
      <w:bookmarkEnd w:id="6"/>
      <w:r w:rsidDel="00000000" w:rsidR="00000000" w:rsidRPr="00000000">
        <w:rPr>
          <w:rFonts w:ascii="Arial" w:cs="Arial" w:eastAsia="Arial" w:hAnsi="Arial"/>
          <w:color w:val="000000"/>
          <w:sz w:val="24"/>
          <w:szCs w:val="24"/>
          <w:rtl w:val="0"/>
        </w:rPr>
        <w:t xml:space="preserve">Where the adjusted Further Competition TUPE Risk Premium is more than the Further Competition TUPE Risk Premium in the previous Contract Year, the Further Competition TUPE Risk Premium shall not be adjusted</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7B">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36" w:hanging="5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Right of audit</w:t>
      </w:r>
    </w:p>
    <w:p w:rsidR="00000000" w:rsidDel="00000000" w:rsidP="00000000" w:rsidRDefault="00000000" w:rsidRPr="00000000" w14:paraId="0000007C">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reserves the right to review and audit the calculation of the Further Competition TUPE Risk Premium at any time. </w:t>
      </w:r>
    </w:p>
    <w:p w:rsidR="00000000" w:rsidDel="00000000" w:rsidP="00000000" w:rsidRDefault="00000000" w:rsidRPr="00000000" w14:paraId="0000007D">
      <w:pPr>
        <w:numPr>
          <w:ilvl w:val="2"/>
          <w:numId w:val="2"/>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an overpayment of the Further Competition TUPE Risk Premium is identified following a review and/or audit carried out or by any other means, the Supplier shall repay to the Buyer any over payment of the Further Competition TUPE Risk Premium within 20 Working Days of being notified or becoming aware of the overpayment.</w:t>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1985"/>
        </w:tabs>
        <w:spacing w:after="120" w:before="12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tabs>
          <w:tab w:val="left" w:pos="1134"/>
        </w:tabs>
        <w:spacing w:after="120" w:before="120" w:lineRule="auto"/>
        <w:ind w:left="502" w:hanging="360"/>
        <w:rPr>
          <w:rFonts w:ascii="Arial" w:cs="Arial" w:eastAsia="Arial" w:hAnsi="Arial"/>
          <w:b w:val="1"/>
          <w:color w:val="000000"/>
          <w:sz w:val="24"/>
          <w:szCs w:val="24"/>
        </w:rPr>
      </w:pPr>
      <w:bookmarkStart w:colFirst="0" w:colLast="0" w:name="_heading=h.3dy6vkm" w:id="7"/>
      <w:bookmarkEnd w:id="7"/>
      <w:r w:rsidDel="00000000" w:rsidR="00000000" w:rsidRPr="00000000">
        <w:rPr>
          <w:rFonts w:ascii="Arial" w:cs="Arial" w:eastAsia="Arial" w:hAnsi="Arial"/>
          <w:b w:val="1"/>
          <w:color w:val="000000"/>
          <w:sz w:val="24"/>
          <w:szCs w:val="24"/>
          <w:rtl w:val="0"/>
        </w:rPr>
        <w:t xml:space="preserve">Option 3 – Further Competition - Fixed Fee TUPE Risk Premium</w:t>
      </w:r>
    </w:p>
    <w:p w:rsidR="00000000" w:rsidDel="00000000" w:rsidP="00000000" w:rsidRDefault="00000000" w:rsidRPr="00000000" w14:paraId="00000080">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1078" w:hanging="57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Fixed Fee TUPE Risk Premium shall be priced for at Further Competition as set out in Annex 1 - Call Off Schedule 5 (Pricing Details).</w:t>
      </w:r>
    </w:p>
    <w:p w:rsidR="00000000" w:rsidDel="00000000" w:rsidP="00000000" w:rsidRDefault="00000000" w:rsidRPr="00000000" w14:paraId="00000081">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1078" w:hanging="57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and no further adjustments shall be permitted except as set out in paragraph 4 of this Schedule 28 (TUPE Surcharge).</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1134"/>
        </w:tabs>
        <w:spacing w:after="120" w:before="12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tabs>
          <w:tab w:val="left" w:pos="1134"/>
        </w:tabs>
        <w:spacing w:after="120" w:before="120" w:lineRule="auto"/>
        <w:ind w:left="502"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Employer Pensions Contribution Cap &amp; other pension cost</w:t>
      </w:r>
    </w:p>
    <w:p w:rsidR="00000000" w:rsidDel="00000000" w:rsidP="00000000" w:rsidRDefault="00000000" w:rsidRPr="00000000" w14:paraId="00000084">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36" w:hanging="576"/>
        <w:rPr>
          <w:rFonts w:ascii="Arial" w:cs="Arial" w:eastAsia="Arial" w:hAnsi="Arial"/>
          <w:color w:val="000000"/>
          <w:sz w:val="24"/>
          <w:szCs w:val="24"/>
        </w:rPr>
      </w:pPr>
      <w:bookmarkStart w:colFirst="0" w:colLast="0" w:name="_heading=h.3rdcrjn" w:id="8"/>
      <w:bookmarkEnd w:id="8"/>
      <w:r w:rsidDel="00000000" w:rsidR="00000000" w:rsidRPr="00000000">
        <w:rPr>
          <w:rFonts w:ascii="Arial" w:cs="Arial" w:eastAsia="Arial" w:hAnsi="Arial"/>
          <w:color w:val="000000"/>
          <w:sz w:val="24"/>
          <w:szCs w:val="24"/>
          <w:rtl w:val="0"/>
        </w:rPr>
        <w:t xml:space="preserve">For options detailed at paragraphs 1, 2 and 3 above the following shall apply.</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6">
      <w:pPr>
        <w:numPr>
          <w:ilvl w:val="2"/>
          <w:numId w:val="1"/>
        </w:numPr>
        <w:pBdr>
          <w:top w:space="0" w:sz="0" w:val="nil"/>
          <w:left w:space="0" w:sz="0" w:val="nil"/>
          <w:bottom w:space="0" w:sz="0" w:val="nil"/>
          <w:right w:space="0" w:sz="0" w:val="nil"/>
          <w:between w:space="0" w:sz="0" w:val="nil"/>
        </w:pBdr>
        <w:tabs>
          <w:tab w:val="left" w:pos="175"/>
        </w:tabs>
        <w:spacing w:after="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any Annual Pension Cost would have included Employer Pension Contribution in excess of the 6% Employer Pension Contribution Cap or Other Pension Costs, the Supplier may request a pension adjustment to cover the additional cost. Such request for a pension adjustment must be submitted to the Buyer no later than 20 Working Days after the end of the relevant Contract Year.</w:t>
      </w:r>
    </w:p>
    <w:p w:rsidR="00000000" w:rsidDel="00000000" w:rsidP="00000000" w:rsidRDefault="00000000" w:rsidRPr="00000000" w14:paraId="00000087">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Supplier requests a pension adjustment in accordance with the provisions of paragraph 4.1.1. above the TUPE Risk Premium, they must provide sufficient evidence to the Buyer to justify the pension adjustment.</w:t>
      </w:r>
    </w:p>
    <w:p w:rsidR="00000000" w:rsidDel="00000000" w:rsidP="00000000" w:rsidRDefault="00000000" w:rsidRPr="00000000" w14:paraId="00000088">
      <w:pPr>
        <w:keepNext w:val="1"/>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bookmarkStart w:colFirst="0" w:colLast="0" w:name="_heading=h.17dp8vu" w:id="9"/>
      <w:bookmarkEnd w:id="9"/>
      <w:r w:rsidDel="00000000" w:rsidR="00000000" w:rsidRPr="00000000">
        <w:rPr>
          <w:rFonts w:ascii="Arial" w:cs="Arial" w:eastAsia="Arial" w:hAnsi="Arial"/>
          <w:color w:val="000000"/>
          <w:sz w:val="24"/>
          <w:szCs w:val="24"/>
          <w:rtl w:val="0"/>
        </w:rPr>
        <w:t xml:space="preserve">On receipt of the Supplier's calculation of the  pension adjustment the Buyer shall either:</w:t>
      </w:r>
    </w:p>
    <w:p w:rsidR="00000000" w:rsidDel="00000000" w:rsidP="00000000" w:rsidRDefault="00000000" w:rsidRPr="00000000" w14:paraId="00000089">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the Supplier in writing of acceptance of the  pension  adjustment; </w:t>
      </w:r>
    </w:p>
    <w:p w:rsidR="00000000" w:rsidDel="00000000" w:rsidP="00000000" w:rsidRDefault="00000000" w:rsidRPr="00000000" w14:paraId="0000008A">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further information/evidence; and/or</w:t>
      </w:r>
    </w:p>
    <w:p w:rsidR="00000000" w:rsidDel="00000000" w:rsidP="00000000" w:rsidRDefault="00000000" w:rsidRPr="00000000" w14:paraId="0000008B">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a meeting to discuss/clarify the evidence provided.</w:t>
      </w:r>
    </w:p>
    <w:p w:rsidR="00000000" w:rsidDel="00000000" w:rsidP="00000000" w:rsidRDefault="00000000" w:rsidRPr="00000000" w14:paraId="0000008C">
      <w:pPr>
        <w:keepNext w:val="1"/>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pension adjustment in Paragraph 4.1.1 is agreed following the receipt of further information/evidence or following a meeting, the Buyer shall notify the Supplier in writing. </w:t>
      </w:r>
    </w:p>
    <w:p w:rsidR="00000000" w:rsidDel="00000000" w:rsidP="00000000" w:rsidRDefault="00000000" w:rsidRPr="00000000" w14:paraId="0000008D">
      <w:pPr>
        <w:keepNext w:val="1"/>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the Supplier and the Buyer are unable to agree the pension adjustment, they shall follow the Dispute Resolution Procedure. </w:t>
      </w:r>
    </w:p>
    <w:p w:rsidR="00000000" w:rsidDel="00000000" w:rsidP="00000000" w:rsidRDefault="00000000" w:rsidRPr="00000000" w14:paraId="0000008E">
      <w:pPr>
        <w:keepNext w:val="1"/>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paragraph 4.1.4 above applies, the excess amount calculated for the pension adjustment is not included in any calculation of the TUPE Risk Premium Average.</w:t>
      </w:r>
    </w:p>
    <w:p w:rsidR="00000000" w:rsidDel="00000000" w:rsidP="00000000" w:rsidRDefault="00000000" w:rsidRPr="00000000" w14:paraId="0000008F">
      <w:pPr>
        <w:keepNext w:val="1"/>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pension adjustment agreed by the Buyer over the Employer Pension Contribution Cap or in respect of Other Pension Cost shall be paid within timescales as agreed between Buyer and Supplier</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tabs>
          <w:tab w:val="left" w:pos="175"/>
        </w:tabs>
        <w:spacing w:after="120" w:lineRule="auto"/>
        <w:ind w:left="502"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Cost of Change</w:t>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1078" w:hanging="57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Option 1 and 2 Direct Award TUPE Risk Premium and Further Competition TUPE Risk Premium.</w:t>
      </w:r>
    </w:p>
    <w:p w:rsidR="00000000" w:rsidDel="00000000" w:rsidP="00000000" w:rsidRDefault="00000000" w:rsidRPr="00000000" w14:paraId="00000092">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bookmarkStart w:colFirst="0" w:colLast="0" w:name="_heading=h.gjdgxs" w:id="10"/>
      <w:bookmarkEnd w:id="10"/>
      <w:r w:rsidDel="00000000" w:rsidR="00000000" w:rsidRPr="00000000">
        <w:rPr>
          <w:rFonts w:ascii="Arial" w:cs="Arial" w:eastAsia="Arial" w:hAnsi="Arial"/>
          <w:color w:val="000000"/>
          <w:sz w:val="24"/>
          <w:szCs w:val="24"/>
          <w:rtl w:val="0"/>
        </w:rPr>
        <w:t xml:space="preserve">If the Supplier requests a post award adjustment, they must provide sufficient evidence to the Buyer to justify the post award adjustment.</w:t>
      </w:r>
    </w:p>
    <w:p w:rsidR="00000000" w:rsidDel="00000000" w:rsidP="00000000" w:rsidRDefault="00000000" w:rsidRPr="00000000" w14:paraId="00000093">
      <w:pPr>
        <w:keepNext w:val="1"/>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receipt of the Suppliers calculation of the post award adjustment the Buyer shall either:</w:t>
      </w:r>
    </w:p>
    <w:p w:rsidR="00000000" w:rsidDel="00000000" w:rsidP="00000000" w:rsidRDefault="00000000" w:rsidRPr="00000000" w14:paraId="00000094">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the Supplier in writing of acceptance of the Cost of Change adjustments, or</w:t>
      </w:r>
    </w:p>
    <w:p w:rsidR="00000000" w:rsidDel="00000000" w:rsidP="00000000" w:rsidRDefault="00000000" w:rsidRPr="00000000" w14:paraId="00000095">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further information/evidence; and/or</w:t>
      </w:r>
    </w:p>
    <w:p w:rsidR="00000000" w:rsidDel="00000000" w:rsidP="00000000" w:rsidRDefault="00000000" w:rsidRPr="00000000" w14:paraId="00000096">
      <w:pPr>
        <w:numPr>
          <w:ilvl w:val="3"/>
          <w:numId w:val="1"/>
        </w:numPr>
        <w:pBdr>
          <w:top w:space="0" w:sz="0" w:val="nil"/>
          <w:left w:space="0" w:sz="0" w:val="nil"/>
          <w:bottom w:space="0" w:sz="0" w:val="nil"/>
          <w:right w:space="0" w:sz="0" w:val="nil"/>
          <w:between w:space="0" w:sz="0" w:val="nil"/>
        </w:pBdr>
        <w:tabs>
          <w:tab w:val="left" w:pos="1985"/>
        </w:tabs>
        <w:spacing w:after="120" w:before="120" w:lineRule="auto"/>
        <w:ind w:left="2610" w:hanging="99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Request a meeting to discuss/clarify the evidence provided.</w:t>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1078" w:hanging="57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Option 3 – Further Competition Fixed Fee TUPE Risk Premium</w:t>
      </w:r>
    </w:p>
    <w:p w:rsidR="00000000" w:rsidDel="00000000" w:rsidP="00000000" w:rsidRDefault="00000000" w:rsidRPr="00000000" w14:paraId="00000098">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798"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shall be no post award adjustment to Cost of Change.</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1134"/>
        </w:tabs>
        <w:spacing w:after="120" w:before="120" w:lineRule="auto"/>
        <w:ind w:left="1078" w:hanging="579"/>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A">
      <w:pPr>
        <w:spacing w:after="0" w:lineRule="auto"/>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RM6257</w:t>
    </w:r>
  </w:p>
  <w:p w:rsidR="00000000" w:rsidDel="00000000" w:rsidP="00000000" w:rsidRDefault="00000000" w:rsidRPr="00000000" w14:paraId="000000A4">
    <w:pPr>
      <w:spacing w:after="0" w:line="276" w:lineRule="auto"/>
      <w:rPr>
        <w:rFonts w:ascii="Arial" w:cs="Arial" w:eastAsia="Arial" w:hAnsi="Arial"/>
        <w:sz w:val="20"/>
        <w:szCs w:val="20"/>
      </w:rPr>
    </w:pPr>
    <w:bookmarkStart w:colFirst="0" w:colLast="0" w:name="_heading=h.1t3h5sf" w:id="12"/>
    <w:bookmarkEnd w:id="12"/>
    <w:r w:rsidDel="00000000" w:rsidR="00000000" w:rsidRPr="00000000">
      <w:rPr>
        <w:rFonts w:ascii="Arial" w:cs="Arial" w:eastAsia="Arial" w:hAnsi="Arial"/>
        <w:sz w:val="20"/>
        <w:szCs w:val="20"/>
        <w:rtl w:val="0"/>
      </w:rPr>
      <w:t xml:space="preserve">Project Ref: v1.0</w:t>
      <w:tab/>
      <w:tab/>
      <w:tab/>
      <w:tab/>
      <w:tab/>
      <w:tab/>
      <w:tab/>
      <w:tab/>
      <w:tab/>
      <w:tab/>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Ref: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tabs>
        <w:tab w:val="center" w:pos="4513"/>
        <w:tab w:val="right" w:pos="9026"/>
      </w:tabs>
      <w:spacing w:after="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Call-Off Schedule</w:t>
    </w:r>
    <w:r w:rsidDel="00000000" w:rsidR="00000000" w:rsidRPr="00000000">
      <w:rPr>
        <w:rFonts w:ascii="Arial" w:cs="Arial" w:eastAsia="Arial" w:hAnsi="Arial"/>
        <w:b w:val="1"/>
        <w:sz w:val="20"/>
        <w:szCs w:val="20"/>
        <w:highlight w:val="white"/>
        <w:rtl w:val="0"/>
      </w:rPr>
      <w:t xml:space="preserve"> 28 </w:t>
    </w:r>
    <w:r w:rsidDel="00000000" w:rsidR="00000000" w:rsidRPr="00000000">
      <w:rPr>
        <w:rFonts w:ascii="Arial" w:cs="Arial" w:eastAsia="Arial" w:hAnsi="Arial"/>
        <w:b w:val="1"/>
        <w:sz w:val="20"/>
        <w:szCs w:val="20"/>
        <w:rtl w:val="0"/>
      </w:rPr>
      <w:t xml:space="preserve">(TUPE Surcharge)</w:t>
    </w:r>
  </w:p>
  <w:p w:rsidR="00000000" w:rsidDel="00000000" w:rsidP="00000000" w:rsidRDefault="00000000" w:rsidRPr="00000000" w14:paraId="0000009C">
    <w:pPr>
      <w:tabs>
        <w:tab w:val="center" w:pos="4513"/>
        <w:tab w:val="right" w:pos="9026"/>
      </w:tabs>
      <w:spacing w:after="0" w:lineRule="auto"/>
      <w:jc w:val="left"/>
      <w:rPr>
        <w:rFonts w:ascii="Arial" w:cs="Arial" w:eastAsia="Arial" w:hAnsi="Arial"/>
        <w:sz w:val="20"/>
        <w:szCs w:val="20"/>
      </w:rPr>
    </w:pPr>
    <w:bookmarkStart w:colFirst="0" w:colLast="0" w:name="_heading=h.1fob9te" w:id="11"/>
    <w:bookmarkEnd w:id="11"/>
    <w:r w:rsidDel="00000000" w:rsidR="00000000" w:rsidRPr="00000000">
      <w:rPr>
        <w:rFonts w:ascii="Arial" w:cs="Arial" w:eastAsia="Arial" w:hAnsi="Arial"/>
        <w:sz w:val="20"/>
        <w:szCs w:val="20"/>
        <w:rtl w:val="0"/>
      </w:rPr>
      <w:t xml:space="preserve">Call-Off Ref: </w:t>
    </w:r>
  </w:p>
  <w:p w:rsidR="00000000" w:rsidDel="00000000" w:rsidP="00000000" w:rsidRDefault="00000000" w:rsidRPr="00000000" w14:paraId="0000009D">
    <w:pPr>
      <w:tabs>
        <w:tab w:val="center" w:pos="4513"/>
        <w:tab w:val="right" w:pos="9026"/>
      </w:tabs>
      <w:spacing w:after="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2021</w:t>
    </w:r>
  </w:p>
  <w:p w:rsidR="00000000" w:rsidDel="00000000" w:rsidP="00000000" w:rsidRDefault="00000000" w:rsidRPr="00000000" w14:paraId="0000009E">
    <w:pPr>
      <w:tabs>
        <w:tab w:val="center" w:pos="4513"/>
        <w:tab w:val="right" w:pos="9026"/>
      </w:tabs>
      <w:spacing w:after="0" w:lineRule="auto"/>
      <w:jc w:val="right"/>
      <w:rPr>
        <w:rFonts w:ascii="Arial" w:cs="Arial" w:eastAsia="Arial" w:hAnsi="Arial"/>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502" w:hanging="360"/>
      </w:pPr>
      <w:rPr>
        <w:color w:val="000000"/>
        <w:u w:val="none"/>
      </w:rPr>
    </w:lvl>
    <w:lvl w:ilvl="1">
      <w:start w:val="1"/>
      <w:numFmt w:val="decimal"/>
      <w:lvlText w:val="%1.%2."/>
      <w:lvlJc w:val="left"/>
      <w:pPr>
        <w:ind w:left="1078" w:hanging="579"/>
      </w:pPr>
      <w:rPr>
        <w:rFonts w:ascii="Arial" w:cs="Arial" w:eastAsia="Arial" w:hAnsi="Arial"/>
        <w:b w:val="0"/>
        <w:color w:val="000000"/>
        <w:u w:val="none"/>
      </w:rPr>
    </w:lvl>
    <w:lvl w:ilvl="2">
      <w:start w:val="1"/>
      <w:numFmt w:val="decimal"/>
      <w:lvlText w:val="%1.%2.%3."/>
      <w:lvlJc w:val="left"/>
      <w:pPr>
        <w:ind w:left="1798" w:hanging="720"/>
      </w:pPr>
      <w:rPr>
        <w:rFonts w:ascii="Arial" w:cs="Arial" w:eastAsia="Arial" w:hAnsi="Arial"/>
        <w:b w:val="0"/>
        <w:color w:val="000000"/>
        <w:u w:val="none"/>
      </w:rPr>
    </w:lvl>
    <w:lvl w:ilvl="3">
      <w:start w:val="1"/>
      <w:numFmt w:val="lowerLetter"/>
      <w:lvlText w:val="(%4)"/>
      <w:lvlJc w:val="left"/>
      <w:pPr>
        <w:ind w:left="2733" w:hanging="935"/>
      </w:pPr>
      <w:rPr>
        <w:rFonts w:ascii="Arial" w:cs="Arial" w:eastAsia="Arial" w:hAnsi="Arial"/>
        <w:b w:val="0"/>
        <w:color w:val="000000"/>
        <w:u w:val="none"/>
      </w:rPr>
    </w:lvl>
    <w:lvl w:ilvl="4">
      <w:start w:val="1"/>
      <w:numFmt w:val="lowerRoman"/>
      <w:lvlText w:val="(%5)"/>
      <w:lvlJc w:val="left"/>
      <w:pPr>
        <w:ind w:left="3261" w:hanging="566"/>
      </w:pPr>
      <w:rPr>
        <w:rFonts w:ascii="Calibri" w:cs="Calibri" w:eastAsia="Calibri" w:hAnsi="Calibri"/>
        <w:color w:val="0000ff"/>
        <w:u w:val="single"/>
      </w:rPr>
    </w:lvl>
    <w:lvl w:ilvl="5">
      <w:start w:val="1"/>
      <w:numFmt w:val="decimal"/>
      <w:lvlText w:val="%1.%2.%3.%4.%5.%6."/>
      <w:lvlJc w:val="left"/>
      <w:pPr>
        <w:ind w:left="2878" w:hanging="935"/>
      </w:pPr>
      <w:rPr>
        <w:color w:val="0000ff"/>
        <w:u w:val="single"/>
      </w:rPr>
    </w:lvl>
    <w:lvl w:ilvl="6">
      <w:start w:val="1"/>
      <w:numFmt w:val="decimal"/>
      <w:lvlText w:val="%1.%2.%3.%4.%5.%6.%7."/>
      <w:lvlJc w:val="left"/>
      <w:pPr>
        <w:ind w:left="3382" w:hanging="1080"/>
      </w:pPr>
      <w:rPr>
        <w:color w:val="0000ff"/>
        <w:u w:val="single"/>
      </w:rPr>
    </w:lvl>
    <w:lvl w:ilvl="7">
      <w:start w:val="1"/>
      <w:numFmt w:val="decimal"/>
      <w:lvlText w:val="%1.%2.%3.%4.%5.%6.%7.%8."/>
      <w:lvlJc w:val="left"/>
      <w:pPr>
        <w:ind w:left="3886" w:hanging="1223"/>
      </w:pPr>
      <w:rPr>
        <w:color w:val="0000ff"/>
        <w:u w:val="single"/>
      </w:rPr>
    </w:lvl>
    <w:lvl w:ilvl="8">
      <w:start w:val="1"/>
      <w:numFmt w:val="decimal"/>
      <w:lvlText w:val="%1.%2.%3.%4.%5.%6.%7.%8.%9."/>
      <w:lvlJc w:val="left"/>
      <w:pPr>
        <w:ind w:left="4462" w:hanging="1440"/>
      </w:pPr>
      <w:rPr>
        <w:color w:val="0000ff"/>
        <w:u w:val="single"/>
      </w:rPr>
    </w:lvl>
  </w:abstractNum>
  <w:abstractNum w:abstractNumId="2">
    <w:lvl w:ilvl="0">
      <w:start w:val="1"/>
      <w:numFmt w:val="decimal"/>
      <w:lvlText w:val="%1."/>
      <w:lvlJc w:val="left"/>
      <w:pPr>
        <w:ind w:left="502" w:hanging="360"/>
      </w:pPr>
      <w:rPr>
        <w:rFonts w:ascii="Arial" w:cs="Arial" w:eastAsia="Arial" w:hAnsi="Arial"/>
        <w:b w:val="1"/>
      </w:rPr>
    </w:lvl>
    <w:lvl w:ilvl="1">
      <w:start w:val="1"/>
      <w:numFmt w:val="decimal"/>
      <w:lvlText w:val="%1.%2."/>
      <w:lvlJc w:val="left"/>
      <w:pPr>
        <w:ind w:left="1078" w:hanging="579"/>
      </w:pPr>
      <w:rPr>
        <w:rFonts w:ascii="Arial" w:cs="Arial" w:eastAsia="Arial" w:hAnsi="Arial"/>
        <w:b w:val="0"/>
      </w:rPr>
    </w:lvl>
    <w:lvl w:ilvl="2">
      <w:start w:val="1"/>
      <w:numFmt w:val="decimal"/>
      <w:lvlText w:val="%1.%2.%3."/>
      <w:lvlJc w:val="left"/>
      <w:pPr>
        <w:ind w:left="1798" w:hanging="720"/>
      </w:pPr>
      <w:rPr>
        <w:rFonts w:ascii="Arial" w:cs="Arial" w:eastAsia="Arial" w:hAnsi="Arial"/>
        <w:b w:val="0"/>
      </w:rPr>
    </w:lvl>
    <w:lvl w:ilvl="3">
      <w:start w:val="1"/>
      <w:numFmt w:val="lowerLetter"/>
      <w:lvlText w:val="(%4)"/>
      <w:lvlJc w:val="left"/>
      <w:pPr>
        <w:ind w:left="2733" w:hanging="935"/>
      </w:pPr>
      <w:rPr>
        <w:rFonts w:ascii="Arial" w:cs="Arial" w:eastAsia="Arial" w:hAnsi="Arial"/>
        <w:b w:val="0"/>
      </w:rPr>
    </w:lvl>
    <w:lvl w:ilvl="4">
      <w:start w:val="1"/>
      <w:numFmt w:val="lowerRoman"/>
      <w:lvlText w:val="(%5)"/>
      <w:lvlJc w:val="left"/>
      <w:pPr>
        <w:ind w:left="3261" w:hanging="566"/>
      </w:pPr>
      <w:rPr>
        <w:rFonts w:ascii="Calibri" w:cs="Calibri" w:eastAsia="Calibri" w:hAnsi="Calibri"/>
      </w:rPr>
    </w:lvl>
    <w:lvl w:ilvl="5">
      <w:start w:val="1"/>
      <w:numFmt w:val="decimal"/>
      <w:lvlText w:val="%1.%2.%3.%4.%5.%6."/>
      <w:lvlJc w:val="left"/>
      <w:pPr>
        <w:ind w:left="2878" w:hanging="935"/>
      </w:pPr>
      <w:rPr/>
    </w:lvl>
    <w:lvl w:ilvl="6">
      <w:start w:val="1"/>
      <w:numFmt w:val="decimal"/>
      <w:lvlText w:val="%1.%2.%3.%4.%5.%6.%7."/>
      <w:lvlJc w:val="left"/>
      <w:pPr>
        <w:ind w:left="3382" w:hanging="1080"/>
      </w:pPr>
      <w:rPr/>
    </w:lvl>
    <w:lvl w:ilvl="7">
      <w:start w:val="1"/>
      <w:numFmt w:val="decimal"/>
      <w:lvlText w:val="%1.%2.%3.%4.%5.%6.%7.%8."/>
      <w:lvlJc w:val="left"/>
      <w:pPr>
        <w:ind w:left="3886" w:hanging="1223"/>
      </w:pPr>
      <w:rPr/>
    </w:lvl>
    <w:lvl w:ilvl="8">
      <w:start w:val="1"/>
      <w:numFmt w:val="decimal"/>
      <w:lvlText w:val="%1.%2.%3.%4.%5.%6.%7.%8.%9."/>
      <w:lvlJc w:val="left"/>
      <w:pPr>
        <w:ind w:left="4462"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jc w:val="left"/>
    </w:pPr>
    <w:rPr>
      <w:rFonts w:ascii="Times New Roman" w:cs="Times New Roman" w:eastAsia="Times New Roman" w:hAnsi="Times New Roman"/>
      <w:i w:val="1"/>
      <w:sz w:val="18"/>
      <w:szCs w:val="18"/>
    </w:rPr>
  </w:style>
  <w:style w:type="paragraph" w:styleId="Heading2">
    <w:name w:val="heading 2"/>
    <w:basedOn w:val="Normal"/>
    <w:next w:val="Normal"/>
    <w:pPr>
      <w:ind w:left="862" w:hanging="720"/>
    </w:pPr>
    <w:rPr/>
  </w:style>
  <w:style w:type="paragraph" w:styleId="Heading3">
    <w:name w:val="heading 3"/>
    <w:basedOn w:val="Normal"/>
    <w:next w:val="Normal"/>
    <w:pPr>
      <w:keepNext w:val="1"/>
      <w:spacing w:after="60" w:before="240" w:line="276" w:lineRule="auto"/>
      <w:jc w:val="left"/>
    </w:pPr>
    <w:rPr>
      <w:rFonts w:ascii="Cambria" w:cs="Cambria" w:eastAsia="Cambria" w:hAnsi="Cambria"/>
      <w:b w:val="1"/>
      <w:sz w:val="26"/>
      <w:szCs w:val="26"/>
    </w:rPr>
  </w:style>
  <w:style w:type="paragraph" w:styleId="Heading4">
    <w:name w:val="heading 4"/>
    <w:basedOn w:val="Normal"/>
    <w:next w:val="Normal"/>
    <w:pPr>
      <w:ind w:left="2781" w:hanging="1080"/>
    </w:pPr>
    <w:rPr/>
  </w:style>
  <w:style w:type="paragraph" w:styleId="Heading5">
    <w:name w:val="heading 5"/>
    <w:basedOn w:val="Normal"/>
    <w:next w:val="Normal"/>
    <w:pPr>
      <w:ind w:left="3600" w:hanging="720"/>
    </w:pPr>
    <w:rPr/>
  </w:style>
  <w:style w:type="paragraph" w:styleId="Heading6">
    <w:name w:val="heading 6"/>
    <w:basedOn w:val="Normal"/>
    <w:next w:val="Normal"/>
    <w:pPr>
      <w:ind w:left="4320" w:hanging="720"/>
    </w:pPr>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autoSpaceDE w:val="0"/>
      <w:autoSpaceDN w:val="0"/>
      <w:adjustRightInd w:val="0"/>
    </w:pPr>
    <w:rPr>
      <w:rFonts w:cs="Arial"/>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
    <w:basedOn w:val="Normal"/>
    <w:next w:val="Normal"/>
    <w:link w:val="Heading1Char"/>
    <w:uiPriority w:val="9"/>
    <w:qFormat w:val="1"/>
    <w:pPr>
      <w:keepNext w:val="1"/>
      <w:spacing w:after="0"/>
      <w:jc w:val="left"/>
      <w:outlineLvl w:val="0"/>
    </w:pPr>
    <w:rPr>
      <w:rFonts w:ascii="Times New Roman" w:cs="Times New Roman" w:hAnsi="Times New Roman"/>
      <w:i w:val="1"/>
      <w:sz w:val="18"/>
      <w:szCs w:val="24"/>
      <w:lang w:val="en-U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Normal"/>
    <w:link w:val="Heading2Char"/>
    <w:uiPriority w:val="9"/>
    <w:semiHidden w:val="1"/>
    <w:unhideWhenUsed w:val="1"/>
    <w:qFormat w:val="1"/>
    <w:pPr>
      <w:tabs>
        <w:tab w:val="num" w:pos="862"/>
      </w:tabs>
      <w:ind w:left="862" w:hanging="720"/>
      <w:outlineLvl w:val="1"/>
    </w:pPr>
    <w:rPr>
      <w:rFonts w:cs="Times New Roman" w:eastAsia="STZhongsong"/>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Normal"/>
    <w:link w:val="Heading3Char"/>
    <w:uiPriority w:val="9"/>
    <w:semiHidden w:val="1"/>
    <w:unhideWhenUsed w:val="1"/>
    <w:qFormat w:val="1"/>
    <w:pPr>
      <w:keepNext w:val="1"/>
      <w:spacing w:after="60" w:before="240" w:line="276" w:lineRule="auto"/>
      <w:jc w:val="left"/>
      <w:outlineLvl w:val="2"/>
    </w:pPr>
    <w:rPr>
      <w:rFonts w:ascii="Cambria" w:cs="Times New Roman" w:hAnsi="Cambria"/>
      <w:b w:val="1"/>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uiPriority w:val="9"/>
    <w:semiHidden w:val="1"/>
    <w:unhideWhenUsed w:val="1"/>
    <w:qFormat w:val="1"/>
    <w:pPr>
      <w:tabs>
        <w:tab w:val="num" w:pos="2781"/>
      </w:tabs>
      <w:ind w:left="2781" w:hanging="1080"/>
      <w:outlineLvl w:val="3"/>
    </w:pPr>
    <w:rPr>
      <w:rFonts w:cs="Times New Roman" w:eastAsia="STZhongsong"/>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
    <w:semiHidden w:val="1"/>
    <w:unhideWhenUsed w:val="1"/>
    <w:qFormat w:val="1"/>
    <w:pPr>
      <w:tabs>
        <w:tab w:val="num" w:pos="3600"/>
      </w:tabs>
      <w:ind w:left="3600" w:hanging="720"/>
      <w:outlineLvl w:val="4"/>
    </w:pPr>
    <w:rPr>
      <w:rFonts w:cs="Times New Roman" w:eastAsia="STZhongsong"/>
      <w:szCs w:val="20"/>
    </w:rPr>
  </w:style>
  <w:style w:type="paragraph" w:styleId="Heading6">
    <w:name w:val="heading 6"/>
    <w:aliases w:val="Heading 6 (Do Not Use),Heading 6(unused),Legal Level 1.,L1 PIP,Heading 6  Appendix Y &amp; Z,Lev 6,H6 DO NOT USE,Bullet list,PA Appendix,H6,H61,PR14"/>
    <w:basedOn w:val="Normal"/>
    <w:link w:val="Heading6Char"/>
    <w:uiPriority w:val="9"/>
    <w:semiHidden w:val="1"/>
    <w:unhideWhenUsed w:val="1"/>
    <w:qFormat w:val="1"/>
    <w:pPr>
      <w:tabs>
        <w:tab w:val="num" w:pos="4320"/>
      </w:tabs>
      <w:ind w:left="4320" w:hanging="720"/>
      <w:outlineLvl w:val="5"/>
    </w:pPr>
    <w:rPr>
      <w:rFonts w:cs="Times New Roman" w:eastAsia="STZhongsong"/>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
    <w:link w:val="Heading1"/>
    <w:uiPriority w:val="9"/>
    <w:rPr>
      <w:rFonts w:ascii="Cambria" w:cs="Times New Roman" w:eastAsia="Times New Roman" w:hAnsi="Cambria"/>
      <w:b w:val="1"/>
      <w:bCs w:val="1"/>
      <w:kern w:val="32"/>
      <w:sz w:val="32"/>
      <w:szCs w:val="32"/>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Pr>
      <w:rFonts w:ascii="Arial" w:cs="Times New Roman" w:eastAsia="STZhongsong" w:hAnsi="Arial"/>
      <w:sz w:val="20"/>
      <w:szCs w:val="20"/>
      <w:lang w:val="x-none"/>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Pr>
      <w:rFonts w:ascii="Cambria" w:cs="Times New Roman" w:eastAsia="Times New Roman" w:hAnsi="Cambria"/>
      <w:b w:val="1"/>
      <w:sz w:val="26"/>
      <w:szCs w:val="26"/>
      <w:lang w:val="x-none"/>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6"/>
    <w:rPr>
      <w:rFonts w:ascii="Arial" w:cs="Times New Roman" w:eastAsia="STZhongsong" w:hAnsi="Arial"/>
      <w:sz w:val="20"/>
      <w:szCs w:val="20"/>
      <w:lang w:val="x-none"/>
    </w:rPr>
  </w:style>
  <w:style w:type="character" w:styleId="Heading5Char" w:customStyle="1">
    <w:name w:val="Heading 5 Char"/>
    <w:aliases w:val="Heading 5(unused) Char,Level 3 - (i) Char,Third Level Heading Char,h5 Char,Response Type Char,Response Type1 Char,Response Type2 Char,Response Type3 Char,Response Type4 Char,Response Type5 Char,Response Type6 Char,Response Type7 Char"/>
    <w:link w:val="Heading5"/>
    <w:uiPriority w:val="9"/>
    <w:rPr>
      <w:rFonts w:ascii="Arial" w:cs="Times New Roman" w:eastAsia="STZhongsong" w:hAnsi="Arial"/>
      <w:sz w:val="20"/>
      <w:szCs w:val="20"/>
      <w:lang w:val="x-none"/>
    </w:rPr>
  </w:style>
  <w:style w:type="character" w:styleId="Heading6Char" w:customStyle="1">
    <w:name w:val="Heading 6 Char"/>
    <w:aliases w:val="Heading 6 (Do Not Use) Char,Heading 6(unused) Char,Legal Level 1. Char,L1 PIP Char,Heading 6  Appendix Y &amp; Z Char,Lev 6 Char,H6 DO NOT USE Char,Bullet list Char,PA Appendix Char,H6 Char,H61 Char,PR14 Char"/>
    <w:link w:val="Heading6"/>
    <w:uiPriority w:val="9"/>
    <w:rPr>
      <w:rFonts w:ascii="Arial" w:cs="Times New Roman" w:eastAsia="STZhongsong" w:hAnsi="Arial"/>
      <w:sz w:val="20"/>
      <w:szCs w:val="20"/>
      <w:lang w:val="x-none"/>
    </w:rPr>
  </w:style>
  <w:style w:type="paragraph" w:styleId="Header">
    <w:name w:val="header"/>
    <w:basedOn w:val="Normal"/>
    <w:link w:val="HeaderChar"/>
    <w:uiPriority w:val="99"/>
    <w:pPr>
      <w:tabs>
        <w:tab w:val="center" w:pos="4513"/>
        <w:tab w:val="right" w:pos="9026"/>
      </w:tabs>
      <w:spacing w:after="0"/>
    </w:pPr>
  </w:style>
  <w:style w:type="character" w:styleId="HeaderChar" w:customStyle="1">
    <w:name w:val="Header Char"/>
    <w:link w:val="Header"/>
    <w:uiPriority w:val="99"/>
    <w:rPr>
      <w:rFonts w:ascii="Calibri" w:cs="Arial" w:hAnsi="Calibri"/>
    </w:rPr>
  </w:style>
  <w:style w:type="paragraph" w:styleId="Footer">
    <w:name w:val="footer"/>
    <w:basedOn w:val="Normal"/>
    <w:link w:val="FooterChar"/>
    <w:uiPriority w:val="99"/>
    <w:pPr>
      <w:tabs>
        <w:tab w:val="center" w:pos="4513"/>
        <w:tab w:val="right" w:pos="9026"/>
      </w:tabs>
      <w:spacing w:after="0"/>
    </w:pPr>
  </w:style>
  <w:style w:type="character" w:styleId="FooterChar" w:customStyle="1">
    <w:name w:val="Footer Char"/>
    <w:link w:val="Footer"/>
    <w:uiPriority w:val="99"/>
    <w:rPr>
      <w:rFonts w:ascii="Calibri" w:cs="Arial" w:hAnsi="Calibri"/>
    </w:rPr>
  </w:style>
  <w:style w:type="paragraph" w:styleId="GPSmacrorestart" w:customStyle="1">
    <w:name w:val="GPS macro restart"/>
    <w:basedOn w:val="Normal"/>
    <w:qFormat w:val="1"/>
    <w:pPr>
      <w:spacing w:after="0"/>
    </w:pPr>
    <w:rPr>
      <w:color w:val="ffffff"/>
      <w:sz w:val="16"/>
      <w:szCs w:val="16"/>
    </w:rPr>
  </w:style>
  <w:style w:type="paragraph" w:styleId="GPSL1CLAUSEHEADING" w:customStyle="1">
    <w:name w:val="GPS L1 CLAUSE HEADING"/>
    <w:basedOn w:val="Normal"/>
    <w:next w:val="Normal"/>
    <w:uiPriority w:val="99"/>
    <w:qFormat w:val="1"/>
    <w:pPr>
      <w:tabs>
        <w:tab w:val="left" w:pos="142"/>
      </w:tabs>
      <w:spacing w:before="120"/>
      <w:outlineLvl w:val="1"/>
    </w:pPr>
    <w:rPr>
      <w:rFonts w:eastAsia="STZhongsong"/>
      <w:b w:val="1"/>
      <w:caps w:val="1"/>
    </w:rPr>
  </w:style>
  <w:style w:type="paragraph" w:styleId="GPSL2numberedclause" w:customStyle="1">
    <w:name w:val="GPS L2 numbered clause"/>
    <w:basedOn w:val="Normal"/>
    <w:qFormat w:val="1"/>
    <w:pPr>
      <w:numPr>
        <w:ilvl w:val="1"/>
        <w:numId w:val="3"/>
      </w:numPr>
      <w:tabs>
        <w:tab w:val="left" w:pos="1134"/>
      </w:tabs>
      <w:spacing w:after="120" w:before="120"/>
    </w:pPr>
  </w:style>
  <w:style w:type="paragraph" w:styleId="GPSL3numberedclause" w:customStyle="1">
    <w:name w:val="GPS L3 numbered clause"/>
    <w:basedOn w:val="Normal"/>
    <w:qFormat w:val="1"/>
    <w:pPr>
      <w:numPr>
        <w:ilvl w:val="2"/>
        <w:numId w:val="3"/>
      </w:numPr>
      <w:tabs>
        <w:tab w:val="left" w:pos="1985"/>
      </w:tabs>
      <w:spacing w:after="120" w:before="120"/>
    </w:pPr>
  </w:style>
  <w:style w:type="paragraph" w:styleId="GPSL4numberedclause" w:customStyle="1">
    <w:name w:val="GPS L4 numbered clause"/>
    <w:basedOn w:val="GPSL3numberedclause"/>
    <w:qFormat w:val="1"/>
    <w:pPr>
      <w:numPr>
        <w:ilvl w:val="3"/>
      </w:numPr>
      <w:tabs>
        <w:tab w:val="clear" w:pos="1985"/>
      </w:tabs>
    </w:pPr>
  </w:style>
  <w:style w:type="character" w:styleId="GPSL2numberedclauseChar1" w:customStyle="1">
    <w:name w:val="GPS L2 numbered clause Char1"/>
    <w:rPr>
      <w:rFonts w:ascii="Calibri" w:hAnsi="Calibri"/>
      <w:lang w:val="x-none"/>
    </w:rPr>
  </w:style>
  <w:style w:type="character" w:styleId="GPSL3numberedclauseChar" w:customStyle="1">
    <w:name w:val="GPS L3 numbered clause Char"/>
    <w:rPr>
      <w:rFonts w:ascii="Calibri" w:hAnsi="Calibri"/>
      <w:lang w:val="x-none"/>
    </w:rPr>
  </w:style>
  <w:style w:type="character" w:styleId="GPSL4numberedclauseChar" w:customStyle="1">
    <w:name w:val="GPS L4 numbered clause Char"/>
    <w:rPr>
      <w:rFonts w:ascii="Calibri" w:hAnsi="Calibri"/>
      <w:lang w:val="x-none"/>
    </w:rPr>
  </w:style>
  <w:style w:type="paragraph" w:styleId="GPSL5numberedclause" w:customStyle="1">
    <w:name w:val="GPS L5 numbered clause"/>
    <w:basedOn w:val="GPSL4numberedclause"/>
    <w:qFormat w:val="1"/>
    <w:pPr>
      <w:numPr>
        <w:ilvl w:val="4"/>
      </w:numPr>
    </w:pPr>
  </w:style>
  <w:style w:type="paragraph" w:styleId="GPSL6numbered" w:customStyle="1">
    <w:name w:val="GPS L6 numbered"/>
    <w:basedOn w:val="GPSL5numberedclause"/>
    <w:uiPriority w:val="99"/>
    <w:qFormat w:val="1"/>
    <w:pPr>
      <w:numPr>
        <w:ilvl w:val="0"/>
        <w:numId w:val="0"/>
      </w:numPr>
      <w:tabs>
        <w:tab w:val="left" w:pos="3686"/>
      </w:tabs>
    </w:pPr>
  </w:style>
  <w:style w:type="paragraph" w:styleId="GPSSchTitleandNumber" w:customStyle="1">
    <w:name w:val="GPS Sch Title and Number"/>
    <w:basedOn w:val="Normal"/>
    <w:qFormat w:val="1"/>
    <w:pPr>
      <w:keepNext w:val="1"/>
      <w:ind w:firstLine="426"/>
      <w:jc w:val="center"/>
      <w:outlineLvl w:val="0"/>
    </w:pPr>
    <w:rPr>
      <w:rFonts w:ascii="Arial Bold" w:cs="Times New Roman" w:eastAsia="STZhongsong" w:hAnsi="Arial Bold"/>
      <w:b w:val="1"/>
      <w:caps w:val="1"/>
    </w:rPr>
  </w:style>
  <w:style w:type="character" w:styleId="GPSSchTitleandNumberChar" w:customStyle="1">
    <w:name w:val="GPS Sch Title and Number Char"/>
    <w:rPr>
      <w:rFonts w:ascii="Arial Bold" w:eastAsia="STZhongsong" w:hAnsi="Arial Bold"/>
      <w:b w:val="1"/>
      <w:caps w:val="1"/>
      <w:lang w:val="x-none"/>
    </w:rPr>
  </w:style>
  <w:style w:type="paragraph" w:styleId="GPSDefinitionTerm" w:customStyle="1">
    <w:name w:val="GPS Definition Term"/>
    <w:basedOn w:val="Normal"/>
    <w:qFormat w:val="1"/>
    <w:pPr>
      <w:spacing w:after="120"/>
      <w:ind w:left="-108"/>
      <w:jc w:val="left"/>
    </w:pPr>
    <w:rPr>
      <w:b w:val="1"/>
    </w:rPr>
  </w:style>
  <w:style w:type="paragraph" w:styleId="GPsDefinition" w:customStyle="1">
    <w:name w:val="GPs Definition"/>
    <w:basedOn w:val="Normal"/>
    <w:qFormat w:val="1"/>
    <w:pPr>
      <w:numPr>
        <w:numId w:val="2"/>
      </w:numPr>
      <w:tabs>
        <w:tab w:val="left" w:pos="175"/>
      </w:tabs>
      <w:spacing w:after="120"/>
    </w:pPr>
  </w:style>
  <w:style w:type="paragraph" w:styleId="GPSDefinitionL2" w:customStyle="1">
    <w:name w:val="GPS Definition L2"/>
    <w:basedOn w:val="GPsDefinition"/>
    <w:uiPriority w:val="99"/>
    <w:qFormat w:val="1"/>
    <w:pPr>
      <w:numPr>
        <w:ilvl w:val="1"/>
      </w:numPr>
    </w:pPr>
  </w:style>
  <w:style w:type="paragraph" w:styleId="GPSDefinitionL3" w:customStyle="1">
    <w:name w:val="GPS Definition L3"/>
    <w:basedOn w:val="GPSDefinitionL2"/>
    <w:uiPriority w:val="99"/>
    <w:qFormat w:val="1"/>
    <w:pPr>
      <w:numPr>
        <w:ilvl w:val="2"/>
      </w:numPr>
    </w:pPr>
  </w:style>
  <w:style w:type="paragraph" w:styleId="GPSDefinitionL4" w:customStyle="1">
    <w:name w:val="GPS Definition L4"/>
    <w:basedOn w:val="GPSDefinitionL3"/>
    <w:uiPriority w:val="99"/>
    <w:qFormat w:val="1"/>
    <w:pPr>
      <w:numPr>
        <w:ilvl w:val="3"/>
      </w:numPr>
    </w:pPr>
  </w:style>
  <w:style w:type="paragraph" w:styleId="GPSL1SCHEDULEHeading" w:customStyle="1">
    <w:name w:val="GPS L1 SCHEDULE Heading"/>
    <w:basedOn w:val="GPSL1CLAUSEHEADING"/>
    <w:qFormat w:val="1"/>
    <w:pPr>
      <w:outlineLvl w:val="9"/>
    </w:pPr>
  </w:style>
  <w:style w:type="character" w:styleId="GPSL1SCHEDULEHeadingChar" w:customStyle="1">
    <w:name w:val="GPS L1 SCHEDULE Heading Char"/>
    <w:rPr>
      <w:rFonts w:ascii="Calibri" w:eastAsia="STZhongsong" w:hAnsi="Calibri"/>
      <w:b w:val="1"/>
      <w:caps w:val="1"/>
      <w:lang w:val="x-none"/>
    </w:rPr>
  </w:style>
  <w:style w:type="paragraph" w:styleId="BalloonText">
    <w:name w:val="Balloon Text"/>
    <w:basedOn w:val="Normal"/>
    <w:link w:val="BalloonTextChar"/>
    <w:uiPriority w:val="99"/>
    <w:pPr>
      <w:spacing w:after="0"/>
    </w:pPr>
    <w:rPr>
      <w:rFonts w:ascii="Tahoma" w:cs="Tahoma" w:hAnsi="Tahoma"/>
      <w:sz w:val="16"/>
      <w:szCs w:val="16"/>
    </w:rPr>
  </w:style>
  <w:style w:type="character" w:styleId="BalloonTextChar" w:customStyle="1">
    <w:name w:val="Balloon Text Char"/>
    <w:link w:val="BalloonText"/>
    <w:uiPriority w:val="99"/>
    <w:rPr>
      <w:rFonts w:ascii="Tahoma" w:cs="Tahoma" w:hAnsi="Tahoma"/>
      <w:sz w:val="16"/>
      <w:szCs w:val="16"/>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styleId="CommentTextChar" w:customStyle="1">
    <w:name w:val="Comment Text Char"/>
    <w:link w:val="CommentText"/>
    <w:uiPriority w:val="99"/>
    <w:rPr>
      <w:rFonts w:ascii="Calibri" w:cs="Arial" w:hAnsi="Calibri"/>
      <w:sz w:val="20"/>
      <w:szCs w:val="20"/>
    </w:rPr>
  </w:style>
  <w:style w:type="paragraph" w:styleId="CommentSubject">
    <w:name w:val="annotation subject"/>
    <w:basedOn w:val="CommentText"/>
    <w:next w:val="CommentText"/>
    <w:link w:val="CommentSubjectChar"/>
    <w:uiPriority w:val="99"/>
    <w:rPr>
      <w:b w:val="1"/>
    </w:rPr>
  </w:style>
  <w:style w:type="character" w:styleId="CommentSubjectChar" w:customStyle="1">
    <w:name w:val="Comment Subject Char"/>
    <w:link w:val="CommentSubject"/>
    <w:uiPriority w:val="99"/>
    <w:rPr>
      <w:rFonts w:ascii="Calibri" w:cs="Arial" w:hAnsi="Calibri"/>
      <w:b w:val="1"/>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Revision">
    <w:name w:val="Revision"/>
    <w:hidden w:val="1"/>
    <w:uiPriority w:val="99"/>
    <w:pPr>
      <w:autoSpaceDE w:val="0"/>
      <w:autoSpaceDN w:val="0"/>
      <w:adjustRightInd w:val="0"/>
    </w:pPr>
    <w:rPr>
      <w:rFonts w:ascii="Arial" w:cs="Arial" w:hAnsi="Arial"/>
    </w:rPr>
  </w:style>
  <w:style w:type="character" w:styleId="Heading1Char1" w:customStyle="1">
    <w:name w:val="Heading 1 Char1"/>
    <w:aliases w:val="Se Char1,Paragraph Char1,MPS Standard Heading 1 Char1,PA Chapter Char1,h1 Char1,numbered indent 1 Char1,ni1 Char1,Section Char1,Numbered - 1 Char1,Heading.CAPS Char1,H1 Char1,A MAJOR/BOLD Char1,Schedheading Char1,2 Char"/>
    <w:uiPriority w:val="1"/>
    <w:rPr>
      <w:rFonts w:ascii="Cambria" w:cs="Times New Roman" w:eastAsia="Times New Roman" w:hAnsi="Cambria"/>
      <w:b w:val="1"/>
      <w:kern w:val="32"/>
      <w:sz w:val="32"/>
      <w:szCs w:val="32"/>
      <w:lang w:val="x-none"/>
    </w:rPr>
  </w:style>
  <w:style w:type="paragraph" w:styleId="GPSL2NumberedBoldHeading" w:customStyle="1">
    <w:name w:val="GPS L2 Numbered Bold Heading"/>
    <w:basedOn w:val="Normal"/>
    <w:qFormat w:val="1"/>
    <w:pPr>
      <w:tabs>
        <w:tab w:val="left" w:pos="1134"/>
      </w:tabs>
      <w:spacing w:after="120" w:before="120"/>
    </w:pPr>
    <w:rPr>
      <w:b w:val="1"/>
    </w:rPr>
  </w:style>
  <w:style w:type="paragraph" w:styleId="GPSL2Numbered" w:customStyle="1">
    <w:name w:val="GPS L2 Numbered"/>
    <w:basedOn w:val="GPSL2NumberedBoldHeading"/>
    <w:qFormat w:val="1"/>
    <w:pPr>
      <w:tabs>
        <w:tab w:val="clear" w:pos="1134"/>
      </w:tabs>
    </w:pPr>
    <w:rPr>
      <w:b w:val="0"/>
    </w:rPr>
  </w:style>
  <w:style w:type="character" w:styleId="GPSL2NumberedChar" w:customStyle="1">
    <w:name w:val="GPS L2 Numbered Char"/>
    <w:rPr>
      <w:rFonts w:ascii="Calibri" w:hAnsi="Calibri"/>
      <w:lang w:val="x-none"/>
    </w:rPr>
  </w:style>
  <w:style w:type="character" w:styleId="Emphasis">
    <w:name w:val="Emphasis"/>
    <w:uiPriority w:val="20"/>
    <w:qFormat w:val="1"/>
    <w:rPr>
      <w:rFonts w:cs="Times New Roman"/>
      <w:i w:val="1"/>
    </w:rPr>
  </w:style>
  <w:style w:type="character" w:styleId="GPSL1CLAUSEHEADINGChar" w:customStyle="1">
    <w:name w:val="GPS L1 CLAUSE HEADING Char"/>
    <w:uiPriority w:val="99"/>
    <w:rPr>
      <w:rFonts w:ascii="Calibri" w:eastAsia="STZhongsong" w:hAnsi="Calibri"/>
      <w:b w:val="1"/>
      <w:caps w:val="1"/>
      <w:lang w:val="x-none"/>
    </w:rPr>
  </w:style>
  <w:style w:type="character" w:styleId="GPSL2NumberedBoldHeadingChar" w:customStyle="1">
    <w:name w:val="GPS L2 Numbered Bold Heading Char"/>
    <w:rPr>
      <w:rFonts w:ascii="Calibri" w:hAnsi="Calibri"/>
      <w:b w:val="1"/>
      <w:lang w:val="x-none"/>
    </w:rPr>
  </w:style>
  <w:style w:type="character" w:styleId="GPSL5numberedclauseChar" w:customStyle="1">
    <w:name w:val="GPS L5 numbered clause Char"/>
    <w:rPr>
      <w:rFonts w:ascii="Calibri" w:hAnsi="Calibri"/>
      <w:lang w:val="x-none"/>
    </w:rPr>
  </w:style>
  <w:style w:type="paragraph" w:styleId="Normal1" w:customStyle="1">
    <w:name w:val="Normal1"/>
    <w:pPr>
      <w:widowControl w:val="0"/>
      <w:autoSpaceDE w:val="0"/>
      <w:autoSpaceDN w:val="0"/>
      <w:adjustRightInd w:val="0"/>
      <w:spacing w:after="80"/>
    </w:pPr>
    <w:rPr>
      <w:color w:val="000000"/>
    </w:rPr>
  </w:style>
  <w:style w:type="paragraph" w:styleId="ListParagraph">
    <w:name w:val="List Paragraph"/>
    <w:basedOn w:val="Normal"/>
    <w:uiPriority w:val="34"/>
    <w:qFormat w:val="1"/>
    <w:pPr>
      <w:ind w:left="720"/>
      <w:contextualSpacing w:val="1"/>
    </w:pPr>
  </w:style>
  <w:style w:type="paragraph" w:styleId="BodyText">
    <w:name w:val="Body Text"/>
    <w:basedOn w:val="Normal"/>
    <w:next w:val="GPSmacrorestart"/>
    <w:link w:val="BodyTextChar"/>
    <w:uiPriority w:val="99"/>
    <w:pPr>
      <w:spacing w:after="0"/>
      <w:jc w:val="left"/>
    </w:pPr>
    <w:rPr>
      <w:rFonts w:ascii="Times New Roman" w:cs="Times New Roman" w:hAnsi="Times New Roman"/>
      <w:sz w:val="18"/>
      <w:szCs w:val="24"/>
      <w:lang w:val="en-US"/>
    </w:rPr>
  </w:style>
  <w:style w:type="character" w:styleId="BodyTextChar" w:customStyle="1">
    <w:name w:val="Body Text Char"/>
    <w:link w:val="BodyText"/>
    <w:uiPriority w:val="99"/>
    <w:semiHidden w:val="1"/>
    <w:rPr>
      <w:rFonts w:ascii="Calibri" w:cs="Arial" w:hAnsi="Calibri"/>
    </w:rPr>
  </w:style>
  <w:style w:type="paragraph" w:styleId="DocumentMap">
    <w:name w:val="Document Map"/>
    <w:basedOn w:val="Normal"/>
    <w:next w:val="GPSL5numberedclause"/>
    <w:link w:val="DocumentMapChar"/>
    <w:uiPriority w:val="99"/>
    <w:pPr>
      <w:shd w:color="auto" w:fill="000080" w:val="clear"/>
      <w:spacing w:after="0"/>
      <w:jc w:val="left"/>
    </w:pPr>
    <w:rPr>
      <w:rFonts w:ascii="Tahoma" w:cs="Times New Roman" w:hAnsi="Tahoma"/>
      <w:sz w:val="24"/>
      <w:szCs w:val="24"/>
      <w:lang w:val="en-US"/>
    </w:rPr>
  </w:style>
  <w:style w:type="character" w:styleId="DocumentMapChar" w:customStyle="1">
    <w:name w:val="Document Map Char"/>
    <w:link w:val="DocumentMap"/>
    <w:uiPriority w:val="99"/>
    <w:semiHidden w:val="1"/>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924C08"/>
    <w:pPr>
      <w:autoSpaceDE w:val="1"/>
      <w:autoSpaceDN w:val="1"/>
      <w:adjustRightInd w:val="1"/>
      <w:spacing w:after="100" w:afterAutospacing="1" w:before="100" w:beforeAutospacing="1"/>
      <w:jc w:val="left"/>
    </w:pPr>
    <w:rPr>
      <w:rFonts w:ascii="Times New Roman" w:cs="Times New Roman" w:eastAsia="Times New Roman" w:hAnsi="Times New Roman"/>
      <w:sz w:val="24"/>
      <w:szCs w:val="24"/>
    </w:r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P1owV9AAxSSjEOhdxbWOfbS2w==">AMUW2mXgYSo4YeFnEC824qKMttDRN4fLNs5BRrq0m0kCk6C1THtHHll6iOZKItbcYBxcJ4xU3zGnhHTE/QsAJbZ0kV1m03ySd7qPRHY6/4AzOgWFo4UXrPlD7uQTwJAhYE1FJAZjF7zQ4Wva5Z+P8BWzbY2woMqo8CZLQ8h6bkWT9iIK1f1D7jf+4fA01Luol4fSmzpc/shPCEARlTBxRBu0elTMxbncjlcsI7VG8v3n4hNMrvqh4oQWXmFMq7LoGc1IUANV/02yW+iFMEo9ZrfF7qSNjaYnrYwGUcxMexd7WJj/ZVop42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2021-10-28T14:11:00Z</dcterms:created>
  <dc:creator>Tom McCaldon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D1V7</vt:lpwstr>
  </property>
</Properties>
</file>