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26" w:rsidRDefault="008054CB">
      <w:pPr>
        <w:tabs>
          <w:tab w:val="left" w:pos="5770"/>
        </w:tabs>
        <w:rPr>
          <w:b/>
          <w:smallCaps/>
        </w:rPr>
      </w:pPr>
      <w:bookmarkStart w:id="0" w:name="_heading=h.gjdgxs" w:colFirst="0" w:colLast="0"/>
      <w:bookmarkEnd w:id="0"/>
      <w:r>
        <w:rPr>
          <w:rFonts w:ascii="Arial" w:eastAsia="Arial" w:hAnsi="Arial" w:cs="Arial"/>
          <w:b/>
          <w:sz w:val="36"/>
          <w:szCs w:val="36"/>
        </w:rPr>
        <w:t>Call-Off Schedule 29 (Redundancy Surcharge)</w:t>
      </w:r>
    </w:p>
    <w:p w:rsidR="00D01C26" w:rsidRDefault="008054CB">
      <w:pPr>
        <w:rPr>
          <w:rFonts w:ascii="Arial" w:eastAsia="Arial" w:hAnsi="Arial" w:cs="Arial"/>
          <w:b/>
          <w:color w:val="000000"/>
          <w:sz w:val="24"/>
          <w:szCs w:val="24"/>
        </w:rPr>
      </w:pPr>
      <w:r>
        <w:rPr>
          <w:rFonts w:ascii="Arial" w:eastAsia="Arial" w:hAnsi="Arial" w:cs="Arial"/>
          <w:b/>
          <w:sz w:val="24"/>
          <w:szCs w:val="24"/>
        </w:rPr>
        <w:t>Definitions</w:t>
      </w:r>
    </w:p>
    <w:p w:rsidR="00D01C26" w:rsidRDefault="008054CB">
      <w:pPr>
        <w:numPr>
          <w:ilvl w:val="1"/>
          <w:numId w:val="1"/>
        </w:numPr>
        <w:pBdr>
          <w:top w:val="nil"/>
          <w:left w:val="nil"/>
          <w:bottom w:val="nil"/>
          <w:right w:val="nil"/>
          <w:between w:val="nil"/>
        </w:pBdr>
        <w:spacing w:before="120" w:after="120" w:line="240" w:lineRule="auto"/>
        <w:jc w:val="both"/>
        <w:rPr>
          <w:rFonts w:ascii="Arial" w:eastAsia="Arial" w:hAnsi="Arial" w:cs="Arial"/>
          <w:smallCaps/>
          <w:color w:val="000000"/>
          <w:sz w:val="24"/>
          <w:szCs w:val="24"/>
        </w:rPr>
      </w:pPr>
      <w:r>
        <w:rPr>
          <w:rFonts w:ascii="Arial" w:eastAsia="Arial" w:hAnsi="Arial" w:cs="Arial"/>
          <w:color w:val="000000"/>
          <w:sz w:val="24"/>
          <w:szCs w:val="24"/>
        </w:rPr>
        <w:t>For the purposes of this Call</w:t>
      </w:r>
      <w:r>
        <w:rPr>
          <w:rFonts w:ascii="Arial" w:eastAsia="Arial" w:hAnsi="Arial" w:cs="Arial"/>
          <w:sz w:val="24"/>
          <w:szCs w:val="24"/>
        </w:rPr>
        <w:t>-</w:t>
      </w:r>
      <w:r>
        <w:rPr>
          <w:rFonts w:ascii="Arial" w:eastAsia="Arial" w:hAnsi="Arial" w:cs="Arial"/>
          <w:color w:val="000000"/>
          <w:sz w:val="24"/>
          <w:szCs w:val="24"/>
        </w:rPr>
        <w:t>Off Schedule 2</w:t>
      </w:r>
      <w:r>
        <w:rPr>
          <w:rFonts w:ascii="Arial" w:eastAsia="Arial" w:hAnsi="Arial" w:cs="Arial"/>
          <w:sz w:val="24"/>
          <w:szCs w:val="24"/>
        </w:rPr>
        <w:t>9</w:t>
      </w:r>
      <w:r>
        <w:rPr>
          <w:rFonts w:ascii="Arial" w:eastAsia="Arial" w:hAnsi="Arial" w:cs="Arial"/>
          <w:color w:val="000000"/>
          <w:sz w:val="24"/>
          <w:szCs w:val="24"/>
        </w:rPr>
        <w:t>, the following terms shall have the following meanings:</w:t>
      </w:r>
    </w:p>
    <w:tbl>
      <w:tblPr>
        <w:tblStyle w:val="a2"/>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2"/>
        <w:gridCol w:w="6334"/>
      </w:tblGrid>
      <w:tr w:rsidR="00D01C26">
        <w:tc>
          <w:tcPr>
            <w:tcW w:w="2692" w:type="dxa"/>
            <w:shd w:val="clear" w:color="auto" w:fill="auto"/>
          </w:tcPr>
          <w:p w:rsidR="00D01C26" w:rsidRDefault="008054CB">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“Affected Employee”</w:t>
            </w:r>
          </w:p>
        </w:tc>
        <w:tc>
          <w:tcPr>
            <w:tcW w:w="6334" w:type="dxa"/>
            <w:shd w:val="clear" w:color="auto" w:fill="auto"/>
          </w:tcPr>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an employee of the Supplier (or, if relevant, a notified Sub-Contractor) who is at risk of redundancy as a result of either of the occurrence of either of the events set out in paragraph 2.1 of this Schedule;</w:t>
            </w:r>
          </w:p>
        </w:tc>
      </w:tr>
      <w:tr w:rsidR="00D01C26">
        <w:tc>
          <w:tcPr>
            <w:tcW w:w="2692" w:type="dxa"/>
            <w:shd w:val="clear" w:color="auto" w:fill="auto"/>
          </w:tcPr>
          <w:p w:rsidR="00D01C26" w:rsidRDefault="008054CB">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"Early Retirement Right"</w:t>
            </w:r>
          </w:p>
        </w:tc>
        <w:tc>
          <w:tcPr>
            <w:tcW w:w="6334" w:type="dxa"/>
            <w:shd w:val="clear" w:color="auto" w:fill="auto"/>
          </w:tcPr>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any right to retirement benefit arising on termination for redundancy, whether such benefit is reduced or otherwise and whether such right arises on retirement or otherwise;</w:t>
            </w:r>
          </w:p>
        </w:tc>
      </w:tr>
      <w:tr w:rsidR="00D01C26">
        <w:tc>
          <w:tcPr>
            <w:tcW w:w="2692" w:type="dxa"/>
            <w:shd w:val="clear" w:color="auto" w:fill="auto"/>
          </w:tcPr>
          <w:p w:rsidR="00D01C26" w:rsidRDefault="008054CB">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“Redundancy Payment”</w:t>
            </w:r>
          </w:p>
        </w:tc>
        <w:tc>
          <w:tcPr>
            <w:tcW w:w="6334" w:type="dxa"/>
            <w:shd w:val="clear" w:color="auto" w:fill="auto"/>
          </w:tcPr>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any and all of the following payments which may be mad</w:t>
            </w:r>
            <w:r>
              <w:rPr>
                <w:rFonts w:ascii="Arial" w:eastAsia="Arial" w:hAnsi="Arial" w:cs="Arial"/>
                <w:color w:val="000000"/>
                <w:sz w:val="24"/>
                <w:szCs w:val="24"/>
              </w:rPr>
              <w:t>e by the Supplier (or, if relevant, the notified Sub-Contractor) to any Affected Employee:</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statutory redundancy payments made in accordance with section 162 of the Employment Rights Act 1996;</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r>
            <w:r>
              <w:rPr>
                <w:rFonts w:ascii="Arial" w:eastAsia="Arial" w:hAnsi="Arial" w:cs="Arial"/>
                <w:color w:val="000000"/>
                <w:sz w:val="24"/>
                <w:szCs w:val="24"/>
              </w:rPr>
              <w:t>contractual redundancy payments (which for this purpose shall mean redundancy payments made in accordance with the terms and conditions of employment to which the relevant Affected Employee was entitled at the Reference Date and for the avoidance of doubt,</w:t>
            </w:r>
            <w:r>
              <w:rPr>
                <w:rFonts w:ascii="Arial" w:eastAsia="Arial" w:hAnsi="Arial" w:cs="Arial"/>
                <w:color w:val="000000"/>
                <w:sz w:val="24"/>
                <w:szCs w:val="24"/>
              </w:rPr>
              <w:t xml:space="preserve"> in each employee's case, shall not include any ex gratia payment, payment for accrued holiday or any other payment made as compensation for the termination of employment);</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 xml:space="preserve">where it is not reasonably practicable to require the Affected Employee to work </w:t>
            </w:r>
            <w:r>
              <w:rPr>
                <w:rFonts w:ascii="Arial" w:eastAsia="Arial" w:hAnsi="Arial" w:cs="Arial"/>
                <w:color w:val="000000"/>
                <w:sz w:val="24"/>
                <w:szCs w:val="24"/>
              </w:rPr>
              <w:t>their notice period, in respect of each Affected Employee, either:</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payment of damages for breach of the applicable statutory notice entitlement or, if higher, the notice entitlement under the terms and conditions of employment to which the relevant em</w:t>
            </w:r>
            <w:r>
              <w:rPr>
                <w:rFonts w:ascii="Arial" w:eastAsia="Arial" w:hAnsi="Arial" w:cs="Arial"/>
                <w:color w:val="000000"/>
                <w:sz w:val="24"/>
                <w:szCs w:val="24"/>
              </w:rPr>
              <w:t>ployee was entitled at the Reference Date; or</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ii) payment in lieu of any such notice entitlement, made pursuant to such terms and conditions of employment, but for the avoidance of doubt, shall not include any payment of salary or wages or of any benefit</w:t>
            </w:r>
            <w:r>
              <w:rPr>
                <w:rFonts w:ascii="Arial" w:eastAsia="Arial" w:hAnsi="Arial" w:cs="Arial"/>
                <w:color w:val="000000"/>
                <w:sz w:val="24"/>
                <w:szCs w:val="24"/>
              </w:rPr>
              <w:t xml:space="preserve"> in respect of any period of continuing employment (whether during a notice period or otherwise);</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d)</w:t>
            </w:r>
            <w:r>
              <w:rPr>
                <w:rFonts w:ascii="Arial" w:eastAsia="Arial" w:hAnsi="Arial" w:cs="Arial"/>
                <w:color w:val="000000"/>
                <w:sz w:val="24"/>
                <w:szCs w:val="24"/>
              </w:rPr>
              <w:tab/>
              <w:t>any payment made in satisfaction of any Early Retirement Right to which the relevant employee was entitled under his or her terms and conditions of employm</w:t>
            </w:r>
            <w:r>
              <w:rPr>
                <w:rFonts w:ascii="Arial" w:eastAsia="Arial" w:hAnsi="Arial" w:cs="Arial"/>
                <w:color w:val="000000"/>
                <w:sz w:val="24"/>
                <w:szCs w:val="24"/>
              </w:rPr>
              <w:t>ent on the Reference Date;</w:t>
            </w:r>
          </w:p>
          <w:p w:rsidR="00D01C26" w:rsidRDefault="00D01C26">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p>
        </w:tc>
      </w:tr>
      <w:tr w:rsidR="00D01C26">
        <w:tc>
          <w:tcPr>
            <w:tcW w:w="2692" w:type="dxa"/>
            <w:shd w:val="clear" w:color="auto" w:fill="auto"/>
          </w:tcPr>
          <w:p w:rsidR="00D01C26" w:rsidRDefault="008054CB">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lastRenderedPageBreak/>
              <w:t>“Redundancy Surcharge”</w:t>
            </w:r>
          </w:p>
        </w:tc>
        <w:tc>
          <w:tcPr>
            <w:tcW w:w="6334" w:type="dxa"/>
            <w:shd w:val="clear" w:color="auto" w:fill="auto"/>
          </w:tcPr>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means a surcharge on the Charges comprising the following: </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Redundancy Payment </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ii) any tribunal awards;</w:t>
            </w:r>
          </w:p>
          <w:p w:rsidR="00D01C26" w:rsidRDefault="00D01C26">
            <w:pPr>
              <w:pBdr>
                <w:top w:val="nil"/>
                <w:left w:val="nil"/>
                <w:bottom w:val="nil"/>
                <w:right w:val="nil"/>
                <w:between w:val="nil"/>
              </w:pBdr>
              <w:tabs>
                <w:tab w:val="left" w:pos="709"/>
                <w:tab w:val="left" w:pos="1134"/>
                <w:tab w:val="left" w:pos="175"/>
              </w:tabs>
              <w:spacing w:before="120" w:after="120"/>
              <w:jc w:val="both"/>
              <w:rPr>
                <w:rFonts w:ascii="Arial" w:eastAsia="Arial" w:hAnsi="Arial" w:cs="Arial"/>
                <w:color w:val="000000"/>
                <w:sz w:val="24"/>
                <w:szCs w:val="24"/>
              </w:rPr>
            </w:pPr>
          </w:p>
        </w:tc>
      </w:tr>
      <w:tr w:rsidR="00D01C26">
        <w:tc>
          <w:tcPr>
            <w:tcW w:w="2692" w:type="dxa"/>
            <w:shd w:val="clear" w:color="auto" w:fill="auto"/>
          </w:tcPr>
          <w:p w:rsidR="00D01C26" w:rsidRDefault="008054CB">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“Reference Date”</w:t>
            </w:r>
          </w:p>
        </w:tc>
        <w:tc>
          <w:tcPr>
            <w:tcW w:w="6334" w:type="dxa"/>
            <w:shd w:val="clear" w:color="auto" w:fill="auto"/>
          </w:tcPr>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either:</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r>
            <w:r>
              <w:rPr>
                <w:rFonts w:ascii="Arial" w:eastAsia="Arial" w:hAnsi="Arial" w:cs="Arial"/>
                <w:color w:val="000000"/>
                <w:sz w:val="24"/>
                <w:szCs w:val="24"/>
              </w:rPr>
              <w:t>the date of commencement of employment, if the Affected Employee became employed by the Supplier (or, if relevant, notified Sub-contractor) after the Relevant Transfer Date; or</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the Relevant Transfer Date,</w:t>
            </w:r>
          </w:p>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save that where the Supplier (or, if relevant, n</w:t>
            </w:r>
            <w:r>
              <w:rPr>
                <w:rFonts w:ascii="Arial" w:eastAsia="Arial" w:hAnsi="Arial" w:cs="Arial"/>
                <w:color w:val="000000"/>
                <w:sz w:val="24"/>
                <w:szCs w:val="24"/>
              </w:rPr>
              <w:t>otified Sub-contractor) and Former Supplier are the same entity such that the Employment Regulations do not apply to transfer staff, the relevant date shall be either the Contract Date or, if the Affected Employee became employed by the Supplier (or, if re</w:t>
            </w:r>
            <w:r>
              <w:rPr>
                <w:rFonts w:ascii="Arial" w:eastAsia="Arial" w:hAnsi="Arial" w:cs="Arial"/>
                <w:color w:val="000000"/>
                <w:sz w:val="24"/>
                <w:szCs w:val="24"/>
              </w:rPr>
              <w:t>levant, notified Sub-contractor) after such date, the date of commencement of employment;</w:t>
            </w:r>
          </w:p>
          <w:p w:rsidR="00D01C26" w:rsidRDefault="00D01C26">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p>
        </w:tc>
      </w:tr>
      <w:tr w:rsidR="00D01C26">
        <w:tc>
          <w:tcPr>
            <w:tcW w:w="2692" w:type="dxa"/>
            <w:shd w:val="clear" w:color="auto" w:fill="auto"/>
          </w:tcPr>
          <w:p w:rsidR="00D01C26" w:rsidRDefault="008054CB">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“Redundancy Surcharge”</w:t>
            </w:r>
          </w:p>
        </w:tc>
        <w:tc>
          <w:tcPr>
            <w:tcW w:w="6334" w:type="dxa"/>
            <w:shd w:val="clear" w:color="auto" w:fill="auto"/>
          </w:tcPr>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a surcharge on the Charges equal in amount to each relevant Redundancy Payment;</w:t>
            </w:r>
          </w:p>
        </w:tc>
      </w:tr>
      <w:tr w:rsidR="00D01C26">
        <w:tc>
          <w:tcPr>
            <w:tcW w:w="2692" w:type="dxa"/>
            <w:shd w:val="clear" w:color="auto" w:fill="auto"/>
          </w:tcPr>
          <w:p w:rsidR="00D01C26" w:rsidRDefault="008054CB">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“Service Change Redundancy Surcharge”</w:t>
            </w:r>
          </w:p>
        </w:tc>
        <w:tc>
          <w:tcPr>
            <w:tcW w:w="6334" w:type="dxa"/>
            <w:shd w:val="clear" w:color="auto" w:fill="auto"/>
          </w:tcPr>
          <w:p w:rsidR="00D01C26" w:rsidRDefault="008054CB">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in relation to a redundancy as described in Paragraph 4.1, a surcharge on the Charges equal in amount to the Redundancy Payment.</w:t>
            </w:r>
          </w:p>
        </w:tc>
      </w:tr>
    </w:tbl>
    <w:p w:rsidR="00D01C26" w:rsidRDefault="00D01C26">
      <w:pPr>
        <w:pBdr>
          <w:top w:val="nil"/>
          <w:left w:val="nil"/>
          <w:bottom w:val="nil"/>
          <w:right w:val="nil"/>
          <w:between w:val="nil"/>
        </w:pBdr>
        <w:ind w:left="862"/>
        <w:rPr>
          <w:rFonts w:ascii="Arial" w:eastAsia="Arial" w:hAnsi="Arial" w:cs="Arial"/>
          <w:color w:val="000000"/>
          <w:sz w:val="24"/>
          <w:szCs w:val="24"/>
        </w:rPr>
      </w:pPr>
    </w:p>
    <w:p w:rsidR="00D01C26" w:rsidRDefault="008054CB">
      <w:pPr>
        <w:numPr>
          <w:ilvl w:val="0"/>
          <w:numId w:val="1"/>
        </w:numPr>
        <w:tabs>
          <w:tab w:val="left" w:pos="851"/>
        </w:tabs>
        <w:spacing w:after="240"/>
        <w:rPr>
          <w:rFonts w:ascii="Arial" w:eastAsia="Arial" w:hAnsi="Arial" w:cs="Arial"/>
          <w:b/>
          <w:sz w:val="24"/>
          <w:szCs w:val="24"/>
        </w:rPr>
      </w:pPr>
      <w:r>
        <w:rPr>
          <w:rFonts w:ascii="Arial" w:eastAsia="Arial" w:hAnsi="Arial" w:cs="Arial"/>
          <w:b/>
          <w:sz w:val="24"/>
          <w:szCs w:val="24"/>
        </w:rPr>
        <w:t>Introduction</w:t>
      </w:r>
    </w:p>
    <w:p w:rsidR="00D01C26" w:rsidRDefault="008054CB">
      <w:pPr>
        <w:pStyle w:val="Heading2"/>
        <w:numPr>
          <w:ilvl w:val="1"/>
          <w:numId w:val="1"/>
        </w:numPr>
        <w:rPr>
          <w:sz w:val="24"/>
          <w:szCs w:val="24"/>
        </w:rPr>
      </w:pPr>
      <w:r>
        <w:rPr>
          <w:sz w:val="24"/>
          <w:szCs w:val="24"/>
        </w:rPr>
        <w:t>This Contract Schedule sets out the process for determining the Redundancy Surcharge in the event that:</w:t>
      </w:r>
    </w:p>
    <w:p w:rsidR="00D01C26" w:rsidRDefault="008054CB">
      <w:pPr>
        <w:pStyle w:val="Heading2"/>
        <w:numPr>
          <w:ilvl w:val="2"/>
          <w:numId w:val="1"/>
        </w:numPr>
        <w:rPr>
          <w:sz w:val="24"/>
          <w:szCs w:val="24"/>
        </w:rPr>
      </w:pPr>
      <w:r>
        <w:rPr>
          <w:sz w:val="24"/>
          <w:szCs w:val="24"/>
        </w:rPr>
        <w:t>following a Relevant Transfer, a Transferring Former Supplier Employee and/or a Transferring Buyer Employee is made redundant by the Supplier as a result of an economic technical organisational reason entailing changes to the workforce; and</w:t>
      </w:r>
    </w:p>
    <w:p w:rsidR="00D01C26" w:rsidRDefault="008054CB">
      <w:pPr>
        <w:pStyle w:val="Heading2"/>
        <w:numPr>
          <w:ilvl w:val="2"/>
          <w:numId w:val="1"/>
        </w:numPr>
        <w:rPr>
          <w:sz w:val="24"/>
          <w:szCs w:val="24"/>
        </w:rPr>
      </w:pPr>
      <w:r>
        <w:rPr>
          <w:sz w:val="24"/>
          <w:szCs w:val="24"/>
        </w:rPr>
        <w:lastRenderedPageBreak/>
        <w:t>the Buyer makes</w:t>
      </w:r>
      <w:r>
        <w:rPr>
          <w:sz w:val="24"/>
          <w:szCs w:val="24"/>
        </w:rPr>
        <w:t xml:space="preserve"> a change to the Services which results in the removal of any Services or closure of any of the Buyer Premises.</w:t>
      </w:r>
    </w:p>
    <w:p w:rsidR="00D01C26" w:rsidRDefault="008054CB">
      <w:pPr>
        <w:numPr>
          <w:ilvl w:val="0"/>
          <w:numId w:val="1"/>
        </w:numPr>
        <w:tabs>
          <w:tab w:val="left" w:pos="851"/>
        </w:tabs>
        <w:rPr>
          <w:rFonts w:ascii="Arial" w:eastAsia="Arial" w:hAnsi="Arial" w:cs="Arial"/>
          <w:b/>
          <w:sz w:val="24"/>
          <w:szCs w:val="24"/>
        </w:rPr>
      </w:pPr>
      <w:r>
        <w:rPr>
          <w:rFonts w:ascii="Arial" w:eastAsia="Arial" w:hAnsi="Arial" w:cs="Arial"/>
          <w:b/>
          <w:sz w:val="24"/>
          <w:szCs w:val="24"/>
        </w:rPr>
        <w:t xml:space="preserve">Redundancy Surcharge </w:t>
      </w:r>
    </w:p>
    <w:p w:rsidR="00D01C26" w:rsidRDefault="008054CB">
      <w:pPr>
        <w:pStyle w:val="Heading2"/>
        <w:numPr>
          <w:ilvl w:val="1"/>
          <w:numId w:val="1"/>
        </w:numPr>
        <w:rPr>
          <w:sz w:val="24"/>
          <w:szCs w:val="24"/>
        </w:rPr>
      </w:pPr>
      <w:r>
        <w:rPr>
          <w:sz w:val="24"/>
          <w:szCs w:val="24"/>
        </w:rPr>
        <w:t>Where a Relevant Transfer takes place, or will take place, the Supplier shall not make any Transferring Former Supplier Em</w:t>
      </w:r>
      <w:r>
        <w:rPr>
          <w:sz w:val="24"/>
          <w:szCs w:val="24"/>
        </w:rPr>
        <w:t>ployee(s) and/or Transferring Buyer Employee(s) redundant without consulting the Buyer.</w:t>
      </w:r>
    </w:p>
    <w:p w:rsidR="00D01C26" w:rsidRDefault="008054CB">
      <w:pPr>
        <w:pStyle w:val="Heading2"/>
        <w:numPr>
          <w:ilvl w:val="1"/>
          <w:numId w:val="1"/>
        </w:numPr>
        <w:rPr>
          <w:sz w:val="24"/>
          <w:szCs w:val="24"/>
        </w:rPr>
      </w:pPr>
      <w:r>
        <w:rPr>
          <w:sz w:val="24"/>
          <w:szCs w:val="24"/>
        </w:rPr>
        <w:t>The Supplier shall mitigate the effects of any Redundancy Surcharge by:</w:t>
      </w:r>
    </w:p>
    <w:p w:rsidR="00D01C26" w:rsidRDefault="008054CB">
      <w:pPr>
        <w:pStyle w:val="Heading3"/>
        <w:numPr>
          <w:ilvl w:val="2"/>
          <w:numId w:val="1"/>
        </w:numPr>
        <w:rPr>
          <w:sz w:val="24"/>
          <w:szCs w:val="24"/>
        </w:rPr>
      </w:pPr>
      <w:r>
        <w:rPr>
          <w:sz w:val="24"/>
          <w:szCs w:val="24"/>
        </w:rPr>
        <w:t>redeploying such people where it is practicable for the Supplier to do so; or</w:t>
      </w:r>
    </w:p>
    <w:p w:rsidR="00D01C26" w:rsidRDefault="008054CB">
      <w:pPr>
        <w:pStyle w:val="Heading3"/>
        <w:numPr>
          <w:ilvl w:val="2"/>
          <w:numId w:val="1"/>
        </w:numPr>
        <w:rPr>
          <w:sz w:val="24"/>
          <w:szCs w:val="24"/>
        </w:rPr>
      </w:pPr>
      <w:r>
        <w:rPr>
          <w:sz w:val="24"/>
          <w:szCs w:val="24"/>
        </w:rPr>
        <w:t>where redeployment is not practicable, taking such reasonable mitigation steps to minimise the costs of redundancy where practicable; and</w:t>
      </w:r>
    </w:p>
    <w:p w:rsidR="00D01C26" w:rsidRDefault="008054CB">
      <w:pPr>
        <w:pStyle w:val="Heading3"/>
        <w:numPr>
          <w:ilvl w:val="2"/>
          <w:numId w:val="1"/>
        </w:numPr>
        <w:rPr>
          <w:sz w:val="24"/>
          <w:szCs w:val="24"/>
        </w:rPr>
      </w:pPr>
      <w:r>
        <w:rPr>
          <w:sz w:val="24"/>
          <w:szCs w:val="24"/>
        </w:rPr>
        <w:t>complying with the Law and any reasonable instructions from the Buyer.</w:t>
      </w:r>
    </w:p>
    <w:p w:rsidR="00D01C26" w:rsidRDefault="008054CB">
      <w:pPr>
        <w:pStyle w:val="Heading3"/>
        <w:numPr>
          <w:ilvl w:val="1"/>
          <w:numId w:val="1"/>
        </w:numPr>
        <w:tabs>
          <w:tab w:val="left" w:pos="1418"/>
          <w:tab w:val="left" w:pos="1418"/>
        </w:tabs>
        <w:rPr>
          <w:sz w:val="24"/>
          <w:szCs w:val="24"/>
        </w:rPr>
      </w:pPr>
      <w:bookmarkStart w:id="1" w:name="_heading=h.1fob9te" w:colFirst="0" w:colLast="0"/>
      <w:bookmarkEnd w:id="1"/>
      <w:r>
        <w:rPr>
          <w:sz w:val="24"/>
          <w:szCs w:val="24"/>
        </w:rPr>
        <w:t>The Redundancy Surcharge shall be zero unless t</w:t>
      </w:r>
      <w:r>
        <w:rPr>
          <w:sz w:val="24"/>
          <w:szCs w:val="24"/>
        </w:rPr>
        <w:t>he Supplier has consulted with the Buyer, pursuant to paragraph 3.1 of this Call-Off Schedule 29 about the particular Transferring Former Supplier Employee(s) and/or Transferring Buyer Employee(s) within 12 months of the starting date.</w:t>
      </w:r>
    </w:p>
    <w:p w:rsidR="00D01C26" w:rsidRDefault="008054CB">
      <w:pPr>
        <w:pStyle w:val="Heading3"/>
        <w:numPr>
          <w:ilvl w:val="1"/>
          <w:numId w:val="1"/>
        </w:numPr>
        <w:tabs>
          <w:tab w:val="left" w:pos="1418"/>
          <w:tab w:val="left" w:pos="1418"/>
        </w:tabs>
        <w:rPr>
          <w:sz w:val="24"/>
          <w:szCs w:val="24"/>
        </w:rPr>
      </w:pPr>
      <w:r>
        <w:rPr>
          <w:sz w:val="24"/>
          <w:szCs w:val="24"/>
        </w:rPr>
        <w:t xml:space="preserve">Where redundancy is </w:t>
      </w:r>
      <w:r>
        <w:rPr>
          <w:sz w:val="24"/>
          <w:szCs w:val="24"/>
        </w:rPr>
        <w:t>unavoidable, the Supplier shall provide the Buyer with its estimate of the Redundancy Surcharge together with a breakdown and supporting evidence as may be reasonably necessary for the Buyer to corroborate and assess the calculation of the Redundancy Surch</w:t>
      </w:r>
      <w:r>
        <w:rPr>
          <w:sz w:val="24"/>
          <w:szCs w:val="24"/>
        </w:rPr>
        <w:t xml:space="preserve">arge.  </w:t>
      </w:r>
    </w:p>
    <w:p w:rsidR="00D01C26" w:rsidRDefault="008054CB">
      <w:pPr>
        <w:pStyle w:val="Heading3"/>
        <w:numPr>
          <w:ilvl w:val="1"/>
          <w:numId w:val="1"/>
        </w:numPr>
        <w:tabs>
          <w:tab w:val="left" w:pos="1418"/>
          <w:tab w:val="left" w:pos="1418"/>
        </w:tabs>
        <w:rPr>
          <w:sz w:val="24"/>
          <w:szCs w:val="24"/>
        </w:rPr>
      </w:pPr>
      <w:r>
        <w:rPr>
          <w:sz w:val="24"/>
          <w:szCs w:val="24"/>
        </w:rPr>
        <w:t>On receipt of the Supplier’s calculation of the Redundancy Surcharge the Buyer shall either:</w:t>
      </w:r>
    </w:p>
    <w:p w:rsidR="00D01C26" w:rsidRDefault="008054CB">
      <w:pPr>
        <w:pStyle w:val="Heading3"/>
        <w:numPr>
          <w:ilvl w:val="2"/>
          <w:numId w:val="1"/>
        </w:numPr>
        <w:rPr>
          <w:sz w:val="24"/>
          <w:szCs w:val="24"/>
        </w:rPr>
      </w:pPr>
      <w:r>
        <w:rPr>
          <w:sz w:val="24"/>
          <w:szCs w:val="24"/>
        </w:rPr>
        <w:t xml:space="preserve">notify the Supplier in writing of acceptance of the Redundancy Surcharge relating to the Relevant Transfer; and/or </w:t>
      </w:r>
    </w:p>
    <w:p w:rsidR="00D01C26" w:rsidRDefault="008054CB">
      <w:pPr>
        <w:pStyle w:val="Heading3"/>
        <w:numPr>
          <w:ilvl w:val="2"/>
          <w:numId w:val="1"/>
        </w:numPr>
        <w:rPr>
          <w:sz w:val="24"/>
          <w:szCs w:val="24"/>
        </w:rPr>
      </w:pPr>
      <w:r>
        <w:rPr>
          <w:sz w:val="24"/>
          <w:szCs w:val="24"/>
        </w:rPr>
        <w:t>request further information/evidence; a</w:t>
      </w:r>
      <w:r>
        <w:rPr>
          <w:sz w:val="24"/>
          <w:szCs w:val="24"/>
        </w:rPr>
        <w:t>nd/ or</w:t>
      </w:r>
    </w:p>
    <w:p w:rsidR="00D01C26" w:rsidRDefault="008054CB">
      <w:pPr>
        <w:pStyle w:val="Heading3"/>
        <w:numPr>
          <w:ilvl w:val="2"/>
          <w:numId w:val="1"/>
        </w:numPr>
        <w:rPr>
          <w:sz w:val="24"/>
          <w:szCs w:val="24"/>
        </w:rPr>
      </w:pPr>
      <w:r>
        <w:rPr>
          <w:sz w:val="24"/>
          <w:szCs w:val="24"/>
        </w:rPr>
        <w:t>request a meeting to discuss/clarify the evidence provided.</w:t>
      </w:r>
    </w:p>
    <w:p w:rsidR="00D01C26" w:rsidRDefault="008054CB">
      <w:pPr>
        <w:numPr>
          <w:ilvl w:val="1"/>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Where the Redundancy Surcharge is agreed following the receipt of further information/evidence or following a meeting, the Buyer shall notify the Supplier in writing. </w:t>
      </w:r>
    </w:p>
    <w:p w:rsidR="00D01C26" w:rsidRDefault="008054CB">
      <w:pPr>
        <w:numPr>
          <w:ilvl w:val="1"/>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In the event that the</w:t>
      </w:r>
      <w:r>
        <w:rPr>
          <w:rFonts w:ascii="Arial" w:eastAsia="Arial" w:hAnsi="Arial" w:cs="Arial"/>
          <w:color w:val="000000"/>
          <w:sz w:val="24"/>
          <w:szCs w:val="24"/>
        </w:rPr>
        <w:t xml:space="preserve"> Supplier and the Buyer are unable to agree the Redundancy Surcharge, they shall follow the Dispute Resolution Procedure. </w:t>
      </w:r>
    </w:p>
    <w:p w:rsidR="00D01C26" w:rsidRDefault="00D01C26">
      <w:pPr>
        <w:pBdr>
          <w:top w:val="nil"/>
          <w:left w:val="nil"/>
          <w:bottom w:val="nil"/>
          <w:right w:val="nil"/>
          <w:between w:val="nil"/>
        </w:pBdr>
        <w:spacing w:after="0" w:line="259" w:lineRule="auto"/>
        <w:ind w:left="862"/>
        <w:jc w:val="both"/>
        <w:rPr>
          <w:rFonts w:ascii="Arial" w:eastAsia="Arial" w:hAnsi="Arial" w:cs="Arial"/>
          <w:sz w:val="24"/>
          <w:szCs w:val="24"/>
        </w:rPr>
      </w:pPr>
    </w:p>
    <w:p w:rsidR="00D01C26" w:rsidRDefault="008054CB">
      <w:pPr>
        <w:numPr>
          <w:ilvl w:val="0"/>
          <w:numId w:val="1"/>
        </w:numPr>
        <w:pBdr>
          <w:top w:val="nil"/>
          <w:left w:val="nil"/>
          <w:bottom w:val="nil"/>
          <w:right w:val="nil"/>
          <w:between w:val="nil"/>
        </w:pBdr>
        <w:spacing w:after="0" w:line="259" w:lineRule="auto"/>
        <w:jc w:val="both"/>
        <w:rPr>
          <w:rFonts w:ascii="Arial" w:eastAsia="Arial" w:hAnsi="Arial" w:cs="Arial"/>
          <w:b/>
          <w:color w:val="000000"/>
          <w:sz w:val="24"/>
          <w:szCs w:val="24"/>
        </w:rPr>
      </w:pPr>
      <w:bookmarkStart w:id="2" w:name="_heading=h.2et92p0" w:colFirst="0" w:colLast="0"/>
      <w:bookmarkEnd w:id="2"/>
      <w:r>
        <w:rPr>
          <w:rFonts w:ascii="Arial" w:eastAsia="Arial" w:hAnsi="Arial" w:cs="Arial"/>
          <w:b/>
          <w:color w:val="000000"/>
          <w:sz w:val="24"/>
          <w:szCs w:val="24"/>
        </w:rPr>
        <w:t xml:space="preserve">Building </w:t>
      </w:r>
      <w:r>
        <w:rPr>
          <w:rFonts w:ascii="Arial" w:eastAsia="Arial" w:hAnsi="Arial" w:cs="Arial"/>
          <w:b/>
          <w:sz w:val="24"/>
          <w:szCs w:val="24"/>
        </w:rPr>
        <w:t>c</w:t>
      </w:r>
      <w:r>
        <w:rPr>
          <w:rFonts w:ascii="Arial" w:eastAsia="Arial" w:hAnsi="Arial" w:cs="Arial"/>
          <w:b/>
          <w:color w:val="000000"/>
          <w:sz w:val="24"/>
          <w:szCs w:val="24"/>
        </w:rPr>
        <w:t>losures/</w:t>
      </w:r>
      <w:r>
        <w:rPr>
          <w:rFonts w:ascii="Arial" w:eastAsia="Arial" w:hAnsi="Arial" w:cs="Arial"/>
          <w:b/>
          <w:sz w:val="24"/>
          <w:szCs w:val="24"/>
        </w:rPr>
        <w:t>re</w:t>
      </w:r>
      <w:r>
        <w:rPr>
          <w:rFonts w:ascii="Arial" w:eastAsia="Arial" w:hAnsi="Arial" w:cs="Arial"/>
          <w:b/>
          <w:color w:val="000000"/>
          <w:sz w:val="24"/>
          <w:szCs w:val="24"/>
        </w:rPr>
        <w:t xml:space="preserve">moval </w:t>
      </w:r>
      <w:r>
        <w:rPr>
          <w:rFonts w:ascii="Arial" w:eastAsia="Arial" w:hAnsi="Arial" w:cs="Arial"/>
          <w:b/>
          <w:sz w:val="24"/>
          <w:szCs w:val="24"/>
        </w:rPr>
        <w:t>o</w:t>
      </w:r>
      <w:r>
        <w:rPr>
          <w:rFonts w:ascii="Arial" w:eastAsia="Arial" w:hAnsi="Arial" w:cs="Arial"/>
          <w:b/>
          <w:color w:val="000000"/>
          <w:sz w:val="24"/>
          <w:szCs w:val="24"/>
        </w:rPr>
        <w:t>f Service(s)</w:t>
      </w:r>
    </w:p>
    <w:p w:rsidR="00D01C26" w:rsidRDefault="00D01C26">
      <w:pPr>
        <w:pBdr>
          <w:top w:val="nil"/>
          <w:left w:val="nil"/>
          <w:bottom w:val="nil"/>
          <w:right w:val="nil"/>
          <w:between w:val="nil"/>
        </w:pBdr>
        <w:spacing w:after="0" w:line="259" w:lineRule="auto"/>
        <w:ind w:left="720"/>
        <w:rPr>
          <w:rFonts w:ascii="Arial" w:eastAsia="Arial" w:hAnsi="Arial" w:cs="Arial"/>
          <w:b/>
          <w:color w:val="000000"/>
          <w:sz w:val="24"/>
          <w:szCs w:val="24"/>
        </w:rPr>
      </w:pPr>
    </w:p>
    <w:p w:rsidR="00D01C26" w:rsidRDefault="008054CB">
      <w:pPr>
        <w:numPr>
          <w:ilvl w:val="1"/>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Subject to Paragraph 4.2, Paragraph 4.3 and Paragraph 4.4 where the Supplier or any notified Sub-Contractor makes or intends to make a Redundancy Payment in relation to any termination for redundancy made as a direct result of a Buyer instigated building c</w:t>
      </w:r>
      <w:r>
        <w:rPr>
          <w:rFonts w:ascii="Arial" w:eastAsia="Arial" w:hAnsi="Arial" w:cs="Arial"/>
          <w:color w:val="000000"/>
          <w:sz w:val="24"/>
          <w:szCs w:val="24"/>
        </w:rPr>
        <w:t>losure or removal of service(s), the Supplier may be entitled to a Service Change Redundancy Surcharge.</w:t>
      </w:r>
    </w:p>
    <w:p w:rsidR="00D01C26" w:rsidRDefault="00D01C26">
      <w:pPr>
        <w:pBdr>
          <w:top w:val="nil"/>
          <w:left w:val="nil"/>
          <w:bottom w:val="nil"/>
          <w:right w:val="nil"/>
          <w:between w:val="nil"/>
        </w:pBdr>
        <w:spacing w:after="0" w:line="259" w:lineRule="auto"/>
        <w:ind w:left="862"/>
        <w:rPr>
          <w:rFonts w:ascii="Arial" w:eastAsia="Arial" w:hAnsi="Arial" w:cs="Arial"/>
          <w:color w:val="000000"/>
          <w:sz w:val="24"/>
          <w:szCs w:val="24"/>
        </w:rPr>
      </w:pPr>
    </w:p>
    <w:p w:rsidR="00D01C26" w:rsidRDefault="008054CB">
      <w:pPr>
        <w:numPr>
          <w:ilvl w:val="1"/>
          <w:numId w:val="1"/>
        </w:num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not be entitled to a Service Change Redundancy Surcharge under Paragraph 4.1 unless it has, before any relevant termination for redu</w:t>
      </w:r>
      <w:r>
        <w:rPr>
          <w:rFonts w:ascii="Arial" w:eastAsia="Arial" w:hAnsi="Arial" w:cs="Arial"/>
          <w:color w:val="000000"/>
          <w:sz w:val="24"/>
          <w:szCs w:val="24"/>
        </w:rPr>
        <w:t>ndancy is made:</w:t>
      </w:r>
    </w:p>
    <w:p w:rsidR="00D01C26" w:rsidRDefault="008054CB">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consulted the Buyer about the proposal to make any such termination </w:t>
      </w:r>
      <w:bookmarkStart w:id="3" w:name="_GoBack"/>
      <w:bookmarkEnd w:id="3"/>
      <w:r>
        <w:rPr>
          <w:rFonts w:ascii="Arial" w:eastAsia="Arial" w:hAnsi="Arial" w:cs="Arial"/>
          <w:color w:val="000000"/>
          <w:sz w:val="24"/>
          <w:szCs w:val="24"/>
        </w:rPr>
        <w:t>for redundancy;</w:t>
      </w:r>
    </w:p>
    <w:p w:rsidR="00D01C26" w:rsidRDefault="008054CB">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provided the Buyer with written estimates of any relevant Redundancy Payment together with a breakdown of such estimates and such supporting evidence as the Buyer may reasonably request to corroborate and assess the calculations; and </w:t>
      </w:r>
    </w:p>
    <w:p w:rsidR="00D01C26" w:rsidRDefault="008054CB">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Provided the Buyer wi</w:t>
      </w:r>
      <w:r>
        <w:rPr>
          <w:rFonts w:ascii="Arial" w:eastAsia="Arial" w:hAnsi="Arial" w:cs="Arial"/>
          <w:color w:val="000000"/>
          <w:sz w:val="24"/>
          <w:szCs w:val="24"/>
        </w:rPr>
        <w:t>th details of the steps the Supplier, or the notified Sub-Contractor (as applicable), has taken (or proposes to take) to mitigate such costs in accordance with paragraph 4.4</w:t>
      </w:r>
    </w:p>
    <w:p w:rsidR="00D01C26" w:rsidRDefault="008054CB">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shall not be entitled to a Service Change Redundancy Surcharge under </w:t>
      </w:r>
      <w:r>
        <w:rPr>
          <w:rFonts w:ascii="Arial" w:eastAsia="Arial" w:hAnsi="Arial" w:cs="Arial"/>
          <w:color w:val="000000"/>
          <w:sz w:val="24"/>
          <w:szCs w:val="24"/>
        </w:rPr>
        <w:t>paragraph 4.1 unless it, or the notified Sub-Contractor (as applicable), has followed a fair dismissal procedure and complied with all contractual and legislative requirements (save for a breach of notice entitlement where payment is made on termination in</w:t>
      </w:r>
      <w:r>
        <w:rPr>
          <w:rFonts w:ascii="Arial" w:eastAsia="Arial" w:hAnsi="Arial" w:cs="Arial"/>
          <w:color w:val="000000"/>
          <w:sz w:val="24"/>
          <w:szCs w:val="24"/>
        </w:rPr>
        <w:t xml:space="preserve"> satisfaction of the employee's claim for damages) in respect of each termination for redundancy to which the Service Change Redundancy Surcharge relates.</w:t>
      </w:r>
    </w:p>
    <w:p w:rsidR="00D01C26" w:rsidRDefault="008054CB">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(or, where relevant, shall procure that the notified Sub-Contractor shall) avoid h</w:t>
      </w:r>
      <w:r>
        <w:rPr>
          <w:rFonts w:ascii="Arial" w:eastAsia="Arial" w:hAnsi="Arial" w:cs="Arial"/>
          <w:color w:val="000000"/>
          <w:sz w:val="24"/>
          <w:szCs w:val="24"/>
        </w:rPr>
        <w:t>aving to make, or mitigate the extent of, any Redundancy Payment by:</w:t>
      </w:r>
    </w:p>
    <w:p w:rsidR="00D01C26" w:rsidRDefault="008054CB">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redeploying any relevant person where it is practicable to do so;</w:t>
      </w:r>
    </w:p>
    <w:p w:rsidR="00D01C26" w:rsidRDefault="008054CB">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 redeployment is not practicable, taking reasonable steps to minimise the amount of Redundancy Payment, including re</w:t>
      </w:r>
      <w:r>
        <w:rPr>
          <w:rFonts w:ascii="Arial" w:eastAsia="Arial" w:hAnsi="Arial" w:cs="Arial"/>
          <w:color w:val="000000"/>
          <w:sz w:val="24"/>
          <w:szCs w:val="24"/>
        </w:rPr>
        <w:t>quiring employees to work their notice where this is practicable;</w:t>
      </w:r>
    </w:p>
    <w:p w:rsidR="00D01C26" w:rsidRDefault="008054CB">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complying with the law and any reasonable instructions.</w:t>
      </w:r>
    </w:p>
    <w:p w:rsidR="00D01C26" w:rsidRDefault="008054CB">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not be entitled to a Service Change Redundancy Surcharge under paragraph 4.1 unless:</w:t>
      </w:r>
    </w:p>
    <w:p w:rsidR="00D01C26" w:rsidRDefault="008054CB">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(or, where relevant, notified Sub-Contractor) has consulted with the </w:t>
      </w:r>
      <w:proofErr w:type="gramStart"/>
      <w:r>
        <w:rPr>
          <w:rFonts w:ascii="Arial" w:eastAsia="Arial" w:hAnsi="Arial" w:cs="Arial"/>
          <w:color w:val="000000"/>
          <w:sz w:val="24"/>
          <w:szCs w:val="24"/>
        </w:rPr>
        <w:t>Buyer,  pursuant</w:t>
      </w:r>
      <w:proofErr w:type="gramEnd"/>
      <w:r>
        <w:rPr>
          <w:rFonts w:ascii="Arial" w:eastAsia="Arial" w:hAnsi="Arial" w:cs="Arial"/>
          <w:color w:val="000000"/>
          <w:sz w:val="24"/>
          <w:szCs w:val="24"/>
        </w:rPr>
        <w:t xml:space="preserve"> to paragraph 4.1, within one month of receiving notice by the Supplier of the  building closure or removal of service(s); and</w:t>
      </w:r>
    </w:p>
    <w:p w:rsidR="00D01C26" w:rsidRDefault="008054CB">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employment of any employee </w:t>
      </w:r>
      <w:r>
        <w:rPr>
          <w:rFonts w:ascii="Arial" w:eastAsia="Arial" w:hAnsi="Arial" w:cs="Arial"/>
          <w:color w:val="000000"/>
          <w:sz w:val="24"/>
          <w:szCs w:val="24"/>
        </w:rPr>
        <w:t xml:space="preserve">to whom the Redundancy Payment relates is terminated for redundancy no later than one month after the </w:t>
      </w:r>
      <w:proofErr w:type="gramStart"/>
      <w:r>
        <w:rPr>
          <w:rFonts w:ascii="Arial" w:eastAsia="Arial" w:hAnsi="Arial" w:cs="Arial"/>
          <w:color w:val="000000"/>
          <w:sz w:val="24"/>
          <w:szCs w:val="24"/>
        </w:rPr>
        <w:t>relevant  building</w:t>
      </w:r>
      <w:proofErr w:type="gramEnd"/>
      <w:r>
        <w:rPr>
          <w:rFonts w:ascii="Arial" w:eastAsia="Arial" w:hAnsi="Arial" w:cs="Arial"/>
          <w:color w:val="000000"/>
          <w:sz w:val="24"/>
          <w:szCs w:val="24"/>
        </w:rPr>
        <w:t xml:space="preserve"> closure or removal of service(s).</w:t>
      </w:r>
    </w:p>
    <w:p w:rsidR="00D01C26" w:rsidRDefault="008054CB">
      <w:pPr>
        <w:numPr>
          <w:ilvl w:val="0"/>
          <w:numId w:val="1"/>
        </w:num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On receipt of the Supplier’s calculation of the Redundancy Payments in accordance with paragraph 4.2 the Buyer shall either:</w:t>
      </w:r>
    </w:p>
    <w:p w:rsidR="00D01C26" w:rsidRDefault="008054CB">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notify the Supplier in writing of acceptance of the Service Change Redundancy Surcharge relating to the </w:t>
      </w:r>
      <w:proofErr w:type="gramStart"/>
      <w:r>
        <w:rPr>
          <w:rFonts w:ascii="Arial" w:eastAsia="Arial" w:hAnsi="Arial" w:cs="Arial"/>
          <w:color w:val="000000"/>
          <w:sz w:val="24"/>
          <w:szCs w:val="24"/>
        </w:rPr>
        <w:t>relevant  building</w:t>
      </w:r>
      <w:proofErr w:type="gramEnd"/>
      <w:r>
        <w:rPr>
          <w:rFonts w:ascii="Arial" w:eastAsia="Arial" w:hAnsi="Arial" w:cs="Arial"/>
          <w:color w:val="000000"/>
          <w:sz w:val="24"/>
          <w:szCs w:val="24"/>
        </w:rPr>
        <w:t xml:space="preserve"> closure </w:t>
      </w:r>
      <w:r>
        <w:rPr>
          <w:rFonts w:ascii="Arial" w:eastAsia="Arial" w:hAnsi="Arial" w:cs="Arial"/>
          <w:color w:val="000000"/>
          <w:sz w:val="24"/>
          <w:szCs w:val="24"/>
        </w:rPr>
        <w:t xml:space="preserve">or removal of service(s); and/or </w:t>
      </w:r>
    </w:p>
    <w:p w:rsidR="00D01C26" w:rsidRDefault="008054CB">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request further information/evidence; and/ or</w:t>
      </w:r>
    </w:p>
    <w:p w:rsidR="00D01C26" w:rsidRDefault="008054CB">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request a meeting to discuss/clarify the evidence provided.</w:t>
      </w:r>
    </w:p>
    <w:p w:rsidR="00D01C26" w:rsidRDefault="008054CB">
      <w:pPr>
        <w:numPr>
          <w:ilvl w:val="0"/>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 the Service Change Redundancy Surcharge is agreed following the receipt of further information/evidence or fol</w:t>
      </w:r>
      <w:r>
        <w:rPr>
          <w:rFonts w:ascii="Arial" w:eastAsia="Arial" w:hAnsi="Arial" w:cs="Arial"/>
          <w:color w:val="000000"/>
          <w:sz w:val="24"/>
          <w:szCs w:val="24"/>
        </w:rPr>
        <w:t xml:space="preserve">lowing a meeting, the Buyer shall notify the Supplier in writing. </w:t>
      </w:r>
    </w:p>
    <w:p w:rsidR="00D01C26" w:rsidRDefault="008054CB">
      <w:pPr>
        <w:numPr>
          <w:ilvl w:val="0"/>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the event that the Supplier and the Buyer are unable to agree the Service Change Redundancy Surcharge, they shall follow the Dispute Resolution Procedure. </w:t>
      </w:r>
    </w:p>
    <w:p w:rsidR="00D01C26" w:rsidRDefault="00D01C26">
      <w:pPr>
        <w:jc w:val="center"/>
        <w:rPr>
          <w:rFonts w:ascii="Arial" w:eastAsia="Arial" w:hAnsi="Arial" w:cs="Arial"/>
          <w:b/>
          <w:smallCaps/>
          <w:sz w:val="24"/>
          <w:szCs w:val="24"/>
        </w:rPr>
      </w:pPr>
    </w:p>
    <w:sectPr w:rsidR="00D01C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4CB" w:rsidRDefault="008054CB">
      <w:pPr>
        <w:spacing w:after="0" w:line="240" w:lineRule="auto"/>
      </w:pPr>
      <w:r>
        <w:separator/>
      </w:r>
    </w:p>
  </w:endnote>
  <w:endnote w:type="continuationSeparator" w:id="0">
    <w:p w:rsidR="008054CB" w:rsidRDefault="0080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26" w:rsidRDefault="00D01C2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26" w:rsidRDefault="008054CB">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Framework Ref: RM62</w:t>
    </w:r>
    <w:r>
      <w:rPr>
        <w:rFonts w:ascii="Arial" w:eastAsia="Arial" w:hAnsi="Arial" w:cs="Arial"/>
        <w:sz w:val="20"/>
        <w:szCs w:val="20"/>
      </w:rPr>
      <w:t>57</w:t>
    </w:r>
    <w:r>
      <w:rPr>
        <w:rFonts w:ascii="Arial" w:eastAsia="Arial" w:hAnsi="Arial" w:cs="Arial"/>
      </w:rPr>
      <w:t xml:space="preserve">     </w:t>
    </w:r>
  </w:p>
  <w:p w:rsidR="00D01C26" w:rsidRDefault="008054CB">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A404C">
      <w:rPr>
        <w:rFonts w:ascii="Arial" w:eastAsia="Arial" w:hAnsi="Arial" w:cs="Arial"/>
        <w:color w:val="000000"/>
        <w:sz w:val="20"/>
        <w:szCs w:val="20"/>
      </w:rPr>
      <w:fldChar w:fldCharType="separate"/>
    </w:r>
    <w:r w:rsidR="005A404C">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D01C26" w:rsidRDefault="008054CB">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 xml:space="preserve">Model Version: </w:t>
    </w:r>
  </w:p>
  <w:p w:rsidR="00D01C26" w:rsidRDefault="008054CB">
    <w:pPr>
      <w:spacing w:after="0" w:line="240" w:lineRule="auto"/>
      <w:jc w:val="both"/>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26" w:rsidRDefault="00D01C2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4CB" w:rsidRDefault="008054CB">
      <w:pPr>
        <w:spacing w:after="0" w:line="240" w:lineRule="auto"/>
      </w:pPr>
      <w:r>
        <w:separator/>
      </w:r>
    </w:p>
  </w:footnote>
  <w:footnote w:type="continuationSeparator" w:id="0">
    <w:p w:rsidR="008054CB" w:rsidRDefault="0080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26" w:rsidRDefault="00D01C2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26" w:rsidRDefault="008054C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bookmarkStart w:id="4" w:name="_heading=h.3znysh7" w:colFirst="0" w:colLast="0"/>
    <w:bookmarkEnd w:id="4"/>
    <w:r>
      <w:rPr>
        <w:rFonts w:ascii="Arial" w:eastAsia="Arial" w:hAnsi="Arial" w:cs="Arial"/>
        <w:b/>
        <w:color w:val="000000"/>
        <w:sz w:val="20"/>
        <w:szCs w:val="20"/>
      </w:rPr>
      <w:t xml:space="preserve">Call Off Schedule </w:t>
    </w:r>
    <w:r>
      <w:rPr>
        <w:rFonts w:ascii="Arial" w:eastAsia="Arial" w:hAnsi="Arial" w:cs="Arial"/>
        <w:b/>
        <w:sz w:val="20"/>
        <w:szCs w:val="20"/>
      </w:rPr>
      <w:t>29</w:t>
    </w:r>
    <w:r>
      <w:rPr>
        <w:rFonts w:ascii="Arial" w:eastAsia="Arial" w:hAnsi="Arial" w:cs="Arial"/>
        <w:b/>
        <w:color w:val="000000"/>
        <w:sz w:val="20"/>
        <w:szCs w:val="20"/>
      </w:rPr>
      <w:t xml:space="preserve"> (Redundancy Surcharge)</w:t>
    </w:r>
  </w:p>
  <w:p w:rsidR="00D01C26" w:rsidRDefault="008054CB">
    <w:pPr>
      <w:tabs>
        <w:tab w:val="center" w:pos="4513"/>
        <w:tab w:val="right" w:pos="9026"/>
      </w:tabs>
      <w:spacing w:after="0" w:line="240" w:lineRule="auto"/>
    </w:pPr>
    <w:r>
      <w:rPr>
        <w:rFonts w:ascii="Arial" w:eastAsia="Arial" w:hAnsi="Arial" w:cs="Arial"/>
        <w:sz w:val="20"/>
        <w:szCs w:val="20"/>
      </w:rPr>
      <w:t xml:space="preserve">Call-Off Ref: </w:t>
    </w:r>
  </w:p>
  <w:p w:rsidR="00D01C26" w:rsidRPr="005A404C" w:rsidRDefault="008054CB">
    <w:pPr>
      <w:tabs>
        <w:tab w:val="center" w:pos="4513"/>
        <w:tab w:val="right" w:pos="9026"/>
      </w:tabs>
      <w:spacing w:after="0" w:line="240" w:lineRule="auto"/>
      <w:rPr>
        <w:rFonts w:ascii="Arial" w:eastAsia="Arial" w:hAnsi="Arial" w:cs="Arial"/>
        <w:sz w:val="20"/>
        <w:szCs w:val="20"/>
      </w:rPr>
    </w:pPr>
    <w:r w:rsidRPr="005A404C">
      <w:rPr>
        <w:rFonts w:ascii="Arial" w:hAnsi="Arial" w:cs="Arial"/>
      </w:rPr>
      <w:t>Crown Copyright</w:t>
    </w:r>
    <w:r w:rsidRPr="005A404C">
      <w:rPr>
        <w:rFonts w:ascii="Arial" w:eastAsia="Arial" w:hAnsi="Arial" w:cs="Arial"/>
        <w:sz w:val="16"/>
        <w:szCs w:val="16"/>
      </w:rPr>
      <w:t xml:space="preserve"> </w:t>
    </w:r>
    <w:r w:rsidRPr="005A404C">
      <w:rPr>
        <w:rFonts w:ascii="Arial" w:hAnsi="Arial" w:cs="Arial"/>
      </w:rPr>
      <w:t>2021</w:t>
    </w:r>
  </w:p>
  <w:p w:rsidR="00D01C26" w:rsidRDefault="008054CB">
    <w:pPr>
      <w:pBdr>
        <w:top w:val="nil"/>
        <w:left w:val="nil"/>
        <w:bottom w:val="nil"/>
        <w:right w:val="nil"/>
        <w:between w:val="nil"/>
      </w:pBdr>
      <w:tabs>
        <w:tab w:val="center" w:pos="4513"/>
        <w:tab w:val="right" w:pos="9026"/>
        <w:tab w:val="left" w:pos="7357"/>
      </w:tabs>
      <w:spacing w:after="0" w:line="240" w:lineRule="auto"/>
      <w:rPr>
        <w:color w:val="000000"/>
      </w:rPr>
    </w:pPr>
    <w:r>
      <w:rPr>
        <w:color w:val="000000"/>
      </w:rPr>
      <w:tab/>
    </w:r>
  </w:p>
  <w:p w:rsidR="00D01C26" w:rsidRDefault="00D01C26">
    <w:pPr>
      <w:pBdr>
        <w:top w:val="nil"/>
        <w:left w:val="nil"/>
        <w:bottom w:val="nil"/>
        <w:right w:val="nil"/>
        <w:between w:val="nil"/>
      </w:pBdr>
      <w:tabs>
        <w:tab w:val="center" w:pos="4513"/>
        <w:tab w:val="right" w:pos="9026"/>
      </w:tabs>
      <w:spacing w:after="0" w:line="240" w:lineRule="auto"/>
      <w:rPr>
        <w:color w:val="000000"/>
      </w:rPr>
    </w:pPr>
  </w:p>
  <w:p w:rsidR="00D01C26" w:rsidRDefault="00D01C2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26" w:rsidRDefault="00D01C2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332E"/>
    <w:multiLevelType w:val="multilevel"/>
    <w:tmpl w:val="3ADC827C"/>
    <w:lvl w:ilvl="0">
      <w:start w:val="1"/>
      <w:numFmt w:val="decimal"/>
      <w:pStyle w:val="GPSDefinitionL4"/>
      <w:lvlText w:val="%1."/>
      <w:lvlJc w:val="left"/>
      <w:pPr>
        <w:ind w:left="720" w:hanging="720"/>
      </w:pPr>
      <w:rPr>
        <w:b w:val="0"/>
        <w:i w:val="0"/>
        <w:smallCaps w:val="0"/>
        <w:strike w:val="0"/>
        <w:color w:val="000000"/>
        <w:u w:val="none"/>
        <w:vertAlign w:val="baseline"/>
      </w:rPr>
    </w:lvl>
    <w:lvl w:ilvl="1">
      <w:start w:val="1"/>
      <w:numFmt w:val="decimal"/>
      <w:lvlText w:val="%1.%2"/>
      <w:lvlJc w:val="left"/>
      <w:pPr>
        <w:ind w:left="862" w:hanging="720"/>
      </w:pPr>
      <w:rPr>
        <w:b w:val="0"/>
        <w:i w:val="0"/>
      </w:rPr>
    </w:lvl>
    <w:lvl w:ilvl="2">
      <w:start w:val="1"/>
      <w:numFmt w:val="decimal"/>
      <w:lvlText w:val="%1.%2.%3"/>
      <w:lvlJc w:val="left"/>
      <w:pPr>
        <w:ind w:left="1800" w:hanging="1080"/>
      </w:pPr>
      <w:rPr>
        <w:b w:val="0"/>
      </w:rPr>
    </w:lvl>
    <w:lvl w:ilvl="3">
      <w:start w:val="1"/>
      <w:numFmt w:val="decimal"/>
      <w:lvlText w:val="%1.%2.%3.%4"/>
      <w:lvlJc w:val="left"/>
      <w:pPr>
        <w:ind w:left="2640" w:hanging="1080"/>
      </w:pPr>
      <w:rPr>
        <w:rFonts w:ascii="Arial" w:eastAsia="Arial" w:hAnsi="Arial" w:cs="Arial"/>
        <w:b w:val="0"/>
      </w:rPr>
    </w:lvl>
    <w:lvl w:ilvl="4">
      <w:start w:val="1"/>
      <w:numFmt w:val="lowerLetter"/>
      <w:lvlText w:val="(%5)"/>
      <w:lvlJc w:val="left"/>
      <w:pPr>
        <w:ind w:left="3600" w:hanging="720"/>
      </w:pPr>
      <w:rPr>
        <w:b w:val="0"/>
      </w:rPr>
    </w:lvl>
    <w:lvl w:ilvl="5">
      <w:start w:val="1"/>
      <w:numFmt w:val="lowerRoman"/>
      <w:lvlText w:val="(%6)"/>
      <w:lvlJc w:val="left"/>
      <w:pPr>
        <w:ind w:left="4320" w:hanging="720"/>
      </w:pPr>
      <w:rPr>
        <w:b w:val="0"/>
      </w:rPr>
    </w:lvl>
    <w:lvl w:ilvl="6">
      <w:start w:val="1"/>
      <w:numFmt w:val="decimal"/>
      <w:lvlText w:val="(%7)"/>
      <w:lvlJc w:val="left"/>
      <w:pPr>
        <w:ind w:left="5040" w:hanging="72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A8A28D1"/>
    <w:multiLevelType w:val="multilevel"/>
    <w:tmpl w:val="499427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26"/>
    <w:rsid w:val="005A404C"/>
    <w:rsid w:val="008054CB"/>
    <w:rsid w:val="00D0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D183"/>
  <w15:docId w15:val="{D4600637-F0BC-4A35-9C4E-95C73CFF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862EFF"/>
    <w:pPr>
      <w:keepNext/>
      <w:numPr>
        <w:numId w:val="2"/>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862EFF"/>
    <w:pPr>
      <w:numPr>
        <w:ilvl w:val="1"/>
        <w:numId w:val="2"/>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unhideWhenUsed/>
    <w:qFormat/>
    <w:rsid w:val="00862EFF"/>
    <w:pPr>
      <w:numPr>
        <w:ilvl w:val="2"/>
        <w:numId w:val="2"/>
      </w:numPr>
      <w:tabs>
        <w:tab w:val="left" w:pos="1418"/>
      </w:tabs>
      <w:adjustRightInd w:val="0"/>
      <w:spacing w:after="120" w:line="240" w:lineRule="auto"/>
      <w:jc w:val="both"/>
      <w:outlineLvl w:val="2"/>
    </w:pPr>
    <w:rPr>
      <w:rFonts w:ascii="Arial" w:eastAsia="STZhongsong" w:hAnsi="Arial" w:cs="Times New Roman"/>
      <w:sz w:val="2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
    <w:semiHidden/>
    <w:unhideWhenUsed/>
    <w:qFormat/>
    <w:rsid w:val="00862EFF"/>
    <w:pPr>
      <w:numPr>
        <w:ilvl w:val="3"/>
        <w:numId w:val="2"/>
      </w:numPr>
      <w:adjustRightInd w:val="0"/>
      <w:spacing w:after="120" w:line="240" w:lineRule="auto"/>
      <w:jc w:val="both"/>
      <w:outlineLvl w:val="3"/>
    </w:pPr>
    <w:rPr>
      <w:rFonts w:ascii="Arial" w:eastAsia="STZhongsong" w:hAnsi="Arial" w:cs="Times New Roman"/>
      <w:sz w:val="20"/>
      <w:szCs w:val="20"/>
      <w:lang w:eastAsia="zh-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link w:val="ListParagraphChar"/>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uiPriority w:val="99"/>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uiPriority w:val="99"/>
    <w:qFormat/>
  </w:style>
  <w:style w:type="paragraph" w:customStyle="1" w:styleId="GPSDefinitionL4">
    <w:name w:val="GPS Definition L4"/>
    <w:basedOn w:val="GPSDefinitionL3"/>
    <w:uiPriority w:val="99"/>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uiPriority w:val="99"/>
    <w:qFormat/>
    <w:pPr>
      <w:tabs>
        <w:tab w:val="left" w:pos="0"/>
        <w:tab w:val="num" w:pos="720"/>
      </w:tabs>
      <w:adjustRightInd w:val="0"/>
      <w:spacing w:before="240" w:after="240" w:line="240" w:lineRule="auto"/>
      <w:ind w:left="720" w:hanging="720"/>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 w:val="num" w:pos="1440"/>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num" w:pos="1440"/>
        <w:tab w:val="left" w:pos="3402"/>
      </w:tabs>
      <w:ind w:left="2835" w:hanging="708"/>
    </w:pPr>
  </w:style>
  <w:style w:type="paragraph" w:customStyle="1" w:styleId="GPSL6numbered">
    <w:name w:val="GPS L6 numbered"/>
    <w:basedOn w:val="GPSL5numberedclause"/>
    <w:uiPriority w:val="99"/>
    <w:qFormat/>
    <w:pPr>
      <w:numPr>
        <w:ilvl w:val="5"/>
      </w:numPr>
      <w:tabs>
        <w:tab w:val="num" w:pos="1440"/>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tabs>
        <w:tab w:val="num" w:pos="720"/>
      </w:tabs>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tabs>
        <w:tab w:val="num" w:pos="1440"/>
      </w:tabs>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eastAsia="Times New Roman"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862EFF"/>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862EFF"/>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862EFF"/>
    <w:rPr>
      <w:rFonts w:ascii="Arial" w:eastAsia="STZhongsong" w:hAnsi="Arial" w:cs="Times New Roman"/>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862EFF"/>
    <w:rPr>
      <w:rFonts w:ascii="Arial" w:eastAsia="STZhongsong" w:hAnsi="Arial" w:cs="Times New Roman"/>
      <w:sz w:val="20"/>
      <w:szCs w:val="20"/>
      <w:lang w:eastAsia="zh-CN"/>
    </w:rPr>
  </w:style>
  <w:style w:type="character" w:customStyle="1" w:styleId="ListParagraphChar">
    <w:name w:val="List Paragraph Char"/>
    <w:basedOn w:val="DefaultParagraphFont"/>
    <w:link w:val="ListParagraph"/>
    <w:uiPriority w:val="34"/>
    <w:locked/>
    <w:rsid w:val="00862EFF"/>
    <w:rPr>
      <w:rFonts w:ascii="Calibri" w:eastAsia="Calibri" w:hAnsi="Calibri" w:cs="Times New Roman"/>
    </w:rPr>
  </w:style>
  <w:style w:type="paragraph" w:customStyle="1" w:styleId="GPSL2NumberedBoldHeading">
    <w:name w:val="GPS L2 Numbered Bold Heading"/>
    <w:basedOn w:val="Normal"/>
    <w:qFormat/>
    <w:rsid w:val="00862EFF"/>
    <w:pPr>
      <w:tabs>
        <w:tab w:val="left" w:pos="1134"/>
      </w:tabs>
      <w:adjustRightInd w:val="0"/>
      <w:spacing w:before="120" w:after="120" w:line="240" w:lineRule="auto"/>
      <w:ind w:left="360" w:hanging="360"/>
      <w:jc w:val="both"/>
    </w:pPr>
    <w:rPr>
      <w:rFonts w:ascii="Arial" w:eastAsia="Times New Roman" w:hAnsi="Arial" w:cs="Arial"/>
      <w:b/>
      <w:lang w:eastAsia="zh-CN"/>
    </w:rPr>
  </w:style>
  <w:style w:type="character" w:customStyle="1" w:styleId="GPSL2NumberedChar">
    <w:name w:val="GPS L2 Numbered Char"/>
    <w:basedOn w:val="DefaultParagraphFont"/>
    <w:link w:val="GPSL2Numbered"/>
    <w:rsid w:val="00862EFF"/>
    <w:rPr>
      <w:rFonts w:ascii="Calibri" w:eastAsia="Times New Roman" w:hAnsi="Calibri" w:cs="Arial"/>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0ay3Zh7oDEiwi5lOsBIFOyh7Q==">AMUW2mX8owLAftGssmZ6ypBxV8f8PLAr83DJH1m+hos/boOGD8q5E7Z4tiWEA/413q57rezkBIl+IdWgwcGdCRmb5gy/9byJ95RpeC350LG7v7wv9mQ+XsXlvg4rALYIUJjwqL/SP5p1h4H6CvH178DrY1js4UxOy+ejuWqO/T9LxeX1dlJMm0o=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Becky Leftwich</cp:lastModifiedBy>
  <cp:revision>2</cp:revision>
  <dcterms:created xsi:type="dcterms:W3CDTF">2022-04-07T15:16:00Z</dcterms:created>
  <dcterms:modified xsi:type="dcterms:W3CDTF">2022-04-07T15:16:00Z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