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Framework Schedule 4 (Framework Management)</w:t>
      </w:r>
    </w:p>
    <w:p w:rsidR="00000000" w:rsidDel="00000000" w:rsidP="00000000" w:rsidRDefault="00000000" w:rsidRPr="00000000" w14:paraId="00000002">
      <w:pPr>
        <w:numPr>
          <w:ilvl w:val="0"/>
          <w:numId w:val="1"/>
        </w:numPr>
        <w:pBdr>
          <w:top w:space="0" w:sz="0" w:val="nil"/>
          <w:left w:space="0" w:sz="0" w:val="nil"/>
          <w:bottom w:space="0" w:sz="0" w:val="nil"/>
          <w:right w:space="0" w:sz="0" w:val="nil"/>
          <w:between w:space="0" w:sz="0" w:val="nil"/>
        </w:pBdr>
        <w:tabs>
          <w:tab w:val="left" w:pos="142"/>
        </w:tabs>
        <w:spacing w:after="240" w:before="12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Definitions</w:t>
      </w:r>
    </w:p>
    <w:p w:rsidR="00000000" w:rsidDel="00000000" w:rsidP="00000000" w:rsidRDefault="00000000" w:rsidRPr="00000000" w14:paraId="00000003">
      <w:pPr>
        <w:keepNext w:val="1"/>
        <w:numPr>
          <w:ilvl w:val="1"/>
          <w:numId w:val="1"/>
        </w:numPr>
        <w:pBdr>
          <w:top w:space="0" w:sz="0" w:val="nil"/>
          <w:left w:space="0" w:sz="0" w:val="nil"/>
          <w:bottom w:space="0" w:sz="0" w:val="nil"/>
          <w:right w:space="0" w:sz="0" w:val="nil"/>
          <w:between w:space="0" w:sz="0" w:val="nil"/>
        </w:pBdr>
        <w:tabs>
          <w:tab w:val="left" w:pos="1134"/>
        </w:tabs>
        <w:spacing w:after="120" w:before="12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this Schedule, the following words shall have the following meanings and they shall supplement Joint Schedule 1 (Definitions):</w:t>
      </w:r>
    </w:p>
    <w:tbl>
      <w:tblPr>
        <w:tblStyle w:val="Table1"/>
        <w:tblW w:w="8314.0" w:type="dxa"/>
        <w:jc w:val="left"/>
        <w:tblInd w:w="10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28"/>
        <w:gridCol w:w="5386"/>
        <w:tblGridChange w:id="0">
          <w:tblGrid>
            <w:gridCol w:w="2928"/>
            <w:gridCol w:w="5386"/>
          </w:tblGrid>
        </w:tblGridChange>
      </w:tblGrid>
      <w:tr>
        <w:trPr>
          <w:cantSplit w:val="0"/>
          <w:tblHeader w:val="0"/>
        </w:trPr>
        <w:tc>
          <w:tcPr>
            <w:shd w:fill="auto" w:val="clear"/>
          </w:tcPr>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"Supplier Framework Manager"</w:t>
            </w:r>
          </w:p>
        </w:tc>
        <w:tc>
          <w:tcPr>
            <w:shd w:fill="auto" w:val="clear"/>
          </w:tcPr>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pos="175"/>
              </w:tabs>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has the meaning given to it in Paragraph 3.1 of this Schedule; and</w:t>
            </w:r>
          </w:p>
        </w:tc>
      </w:tr>
      <w:tr>
        <w:trPr>
          <w:cantSplit w:val="0"/>
          <w:tblHeader w:val="0"/>
        </w:trPr>
        <w:tc>
          <w:tcPr>
            <w:shd w:fill="auto" w:val="clear"/>
          </w:tcPr>
          <w:p w:rsidR="00000000" w:rsidDel="00000000" w:rsidP="00000000" w:rsidRDefault="00000000" w:rsidRPr="00000000" w14:paraId="00000006">
            <w:pPr>
              <w:pBdr>
                <w:top w:space="0" w:sz="0" w:val="nil"/>
                <w:left w:space="0" w:sz="0" w:val="nil"/>
                <w:bottom w:space="0" w:sz="0" w:val="nil"/>
                <w:right w:space="0" w:sz="0" w:val="nil"/>
                <w:between w:space="0" w:sz="0" w:val="nil"/>
              </w:pBdr>
              <w:ind w:left="-108"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"Supplier Review Meetings"</w:t>
            </w:r>
          </w:p>
        </w:tc>
        <w:tc>
          <w:tcPr>
            <w:shd w:fill="auto" w:val="clear"/>
          </w:tcPr>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pos="175"/>
              </w:tabs>
              <w:rPr>
                <w:rFonts w:ascii="Arial" w:cs="Arial" w:eastAsia="Arial" w:hAnsi="Arial"/>
                <w:sz w:val="24"/>
                <w:szCs w:val="24"/>
              </w:rPr>
            </w:pPr>
            <w:r w:rsidDel="00000000" w:rsidR="00000000" w:rsidRPr="00000000">
              <w:rPr>
                <w:rFonts w:ascii="Arial" w:cs="Arial" w:eastAsia="Arial" w:hAnsi="Arial"/>
                <w:sz w:val="24"/>
                <w:szCs w:val="24"/>
                <w:rtl w:val="0"/>
              </w:rPr>
              <w:t xml:space="preserve">has the meaning given to it in Paragraph 3.9 of this Schedule.</w:t>
            </w:r>
          </w:p>
        </w:tc>
      </w:tr>
    </w:tbl>
    <w:p w:rsidR="00000000" w:rsidDel="00000000" w:rsidP="00000000" w:rsidRDefault="00000000" w:rsidRPr="00000000" w14:paraId="00000008">
      <w:pPr>
        <w:keepNext w:val="1"/>
        <w:numPr>
          <w:ilvl w:val="0"/>
          <w:numId w:val="1"/>
        </w:numPr>
        <w:pBdr>
          <w:top w:space="0" w:sz="0" w:val="nil"/>
          <w:left w:space="0" w:sz="0" w:val="nil"/>
          <w:bottom w:space="0" w:sz="0" w:val="nil"/>
          <w:right w:space="0" w:sz="0" w:val="nil"/>
          <w:between w:space="0" w:sz="0" w:val="nil"/>
        </w:pBdr>
        <w:tabs>
          <w:tab w:val="left" w:pos="142"/>
        </w:tabs>
        <w:spacing w:after="0" w:before="12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How CCS and the Supplier will work together</w:t>
      </w:r>
    </w:p>
    <w:p w:rsidR="00000000" w:rsidDel="00000000" w:rsidP="00000000" w:rsidRDefault="00000000" w:rsidRPr="00000000" w14:paraId="00000009">
      <w:pPr>
        <w:numPr>
          <w:ilvl w:val="1"/>
          <w:numId w:val="1"/>
        </w:numPr>
        <w:pBdr>
          <w:top w:space="0" w:sz="0" w:val="nil"/>
          <w:left w:space="0" w:sz="0" w:val="nil"/>
          <w:bottom w:space="0" w:sz="0" w:val="nil"/>
          <w:right w:space="0" w:sz="0" w:val="nil"/>
          <w:between w:space="0" w:sz="0" w:val="nil"/>
        </w:pBdr>
        <w:tabs>
          <w:tab w:val="left" w:pos="1134"/>
        </w:tabs>
        <w:spacing w:after="120" w:before="12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successful delivery of this Contract will rely on the ability of the Supplier and CCS to develop a strategic relationship immediately following the conclusion of this Contract and maintaining this relationship throughout the Framework Contract Period. </w:t>
      </w:r>
    </w:p>
    <w:p w:rsidR="00000000" w:rsidDel="00000000" w:rsidP="00000000" w:rsidRDefault="00000000" w:rsidRPr="00000000" w14:paraId="0000000A">
      <w:pPr>
        <w:numPr>
          <w:ilvl w:val="1"/>
          <w:numId w:val="1"/>
        </w:numPr>
        <w:pBdr>
          <w:top w:space="0" w:sz="0" w:val="nil"/>
          <w:left w:space="0" w:sz="0" w:val="nil"/>
          <w:bottom w:space="0" w:sz="0" w:val="nil"/>
          <w:right w:space="0" w:sz="0" w:val="nil"/>
          <w:between w:space="0" w:sz="0" w:val="nil"/>
        </w:pBdr>
        <w:tabs>
          <w:tab w:val="left" w:pos="1134"/>
        </w:tabs>
        <w:spacing w:after="120" w:before="12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achieve this strategic relationship, there will be a requirement to adopt proactive framework management activities which will be informed by quality Management Information, and the sharing of information between the Supplier and CCS.</w:t>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tabs>
          <w:tab w:val="left" w:pos="1134"/>
        </w:tabs>
        <w:spacing w:after="120" w:before="12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Schedule outlines the general structures and management activities that the Parties shall follow during the Framework Period.</w:t>
      </w:r>
    </w:p>
    <w:p w:rsidR="00000000" w:rsidDel="00000000" w:rsidP="00000000" w:rsidRDefault="00000000" w:rsidRPr="00000000" w14:paraId="0000000C">
      <w:pPr>
        <w:keepNext w:val="1"/>
        <w:numPr>
          <w:ilvl w:val="0"/>
          <w:numId w:val="1"/>
        </w:numPr>
        <w:pBdr>
          <w:top w:space="0" w:sz="0" w:val="nil"/>
          <w:left w:space="0" w:sz="0" w:val="nil"/>
          <w:bottom w:space="0" w:sz="0" w:val="nil"/>
          <w:right w:space="0" w:sz="0" w:val="nil"/>
          <w:between w:space="0" w:sz="0" w:val="nil"/>
        </w:pBdr>
        <w:tabs>
          <w:tab w:val="left" w:pos="142"/>
        </w:tabs>
        <w:spacing w:after="240" w:before="12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Management</w:t>
      </w:r>
    </w:p>
    <w:p w:rsidR="00000000" w:rsidDel="00000000" w:rsidP="00000000" w:rsidRDefault="00000000" w:rsidRPr="00000000" w14:paraId="0000000D">
      <w:pPr>
        <w:keepNext w:val="1"/>
        <w:pBdr>
          <w:top w:space="0" w:sz="0" w:val="nil"/>
          <w:left w:space="0" w:sz="0" w:val="nil"/>
          <w:bottom w:space="0" w:sz="0" w:val="nil"/>
          <w:right w:space="0" w:sz="0" w:val="nil"/>
          <w:between w:space="0" w:sz="0" w:val="nil"/>
        </w:pBdr>
        <w:tabs>
          <w:tab w:val="left" w:pos="1134"/>
        </w:tabs>
        <w:spacing w:after="120" w:line="240" w:lineRule="auto"/>
        <w:ind w:left="360" w:hanging="576"/>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Management Structure</w:t>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tabs>
          <w:tab w:val="left" w:pos="1134"/>
        </w:tabs>
        <w:spacing w:after="120" w:before="120" w:line="240" w:lineRule="auto"/>
        <w:ind w:left="900" w:hanging="540"/>
        <w:rPr>
          <w:rFonts w:ascii="Arial" w:cs="Arial" w:eastAsia="Arial" w:hAnsi="Arial"/>
          <w:color w:val="000000"/>
          <w:sz w:val="24"/>
          <w:szCs w:val="24"/>
        </w:rPr>
      </w:pPr>
      <w:bookmarkStart w:colFirst="0" w:colLast="0" w:name="_heading=h.gjdgxs" w:id="0"/>
      <w:bookmarkEnd w:id="0"/>
      <w:r w:rsidDel="00000000" w:rsidR="00000000" w:rsidRPr="00000000">
        <w:rPr>
          <w:rFonts w:ascii="Arial" w:cs="Arial" w:eastAsia="Arial" w:hAnsi="Arial"/>
          <w:color w:val="000000"/>
          <w:sz w:val="24"/>
          <w:szCs w:val="24"/>
          <w:rtl w:val="0"/>
        </w:rPr>
        <w:t xml:space="preserve">The Supplier shall provide a suitably qualified nominated contact (the "</w:t>
      </w:r>
      <w:r w:rsidDel="00000000" w:rsidR="00000000" w:rsidRPr="00000000">
        <w:rPr>
          <w:rFonts w:ascii="Arial" w:cs="Arial" w:eastAsia="Arial" w:hAnsi="Arial"/>
          <w:b w:val="1"/>
          <w:color w:val="000000"/>
          <w:sz w:val="24"/>
          <w:szCs w:val="24"/>
          <w:rtl w:val="0"/>
        </w:rPr>
        <w:t xml:space="preserve">Supplier Framework Manager</w:t>
      </w:r>
      <w:r w:rsidDel="00000000" w:rsidR="00000000" w:rsidRPr="00000000">
        <w:rPr>
          <w:rFonts w:ascii="Arial" w:cs="Arial" w:eastAsia="Arial" w:hAnsi="Arial"/>
          <w:color w:val="000000"/>
          <w:sz w:val="24"/>
          <w:szCs w:val="24"/>
          <w:rtl w:val="0"/>
        </w:rPr>
        <w:t xml:space="preserve">") who will take overall responsibility for delivering the Goods and/or Services required within this Contract, as well as a suitably qualified deputy to act in their absence. </w:t>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tabs>
          <w:tab w:val="left" w:pos="1134"/>
        </w:tabs>
        <w:spacing w:after="120" w:before="120" w:line="240" w:lineRule="auto"/>
        <w:ind w:left="900" w:hanging="54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put in place a structure to manage this Contract in</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accordance with Framework Schedule 1 (Specification) and the Performance Indicators. </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tabs>
          <w:tab w:val="left" w:pos="1134"/>
        </w:tabs>
        <w:spacing w:after="120" w:before="120" w:line="240" w:lineRule="auto"/>
        <w:ind w:left="900" w:hanging="54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governance structure will be agreed between the Parties as soon as reasonably practicable following the Framework Start Date.</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tabs>
          <w:tab w:val="left" w:pos="1134"/>
        </w:tabs>
        <w:spacing w:after="120" w:before="120" w:line="240" w:lineRule="auto"/>
        <w:ind w:left="900" w:hanging="54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Following discussions between the Parties following the Framework Start Date, where requested by CCS the Supplier shall produce and issue to CCS a draft supplier action plan (the </w:t>
      </w:r>
      <w:r w:rsidDel="00000000" w:rsidR="00000000" w:rsidRPr="00000000">
        <w:rPr>
          <w:rFonts w:ascii="Arial" w:cs="Arial" w:eastAsia="Arial" w:hAnsi="Arial"/>
          <w:b w:val="1"/>
          <w:color w:val="000000"/>
          <w:sz w:val="24"/>
          <w:szCs w:val="24"/>
          <w:rtl w:val="0"/>
        </w:rPr>
        <w:t xml:space="preserve">"Supplier Action Plan"</w:t>
      </w:r>
      <w:r w:rsidDel="00000000" w:rsidR="00000000" w:rsidRPr="00000000">
        <w:rPr>
          <w:rFonts w:ascii="Arial" w:cs="Arial" w:eastAsia="Arial" w:hAnsi="Arial"/>
          <w:color w:val="000000"/>
          <w:sz w:val="24"/>
          <w:szCs w:val="24"/>
          <w:rtl w:val="0"/>
        </w:rPr>
        <w:t xml:space="preserve">).  CCS shall not unreasonably withhold or delay its agreement to the draft Supplier Action Plan. The Supplier Action Plan shall be agreed between the Parties and come into effect within two weeks from receipt by the Supplier of the draft Supplier Action Plan. </w:t>
      </w:r>
    </w:p>
    <w:p w:rsidR="00000000" w:rsidDel="00000000" w:rsidP="00000000" w:rsidRDefault="00000000" w:rsidRPr="00000000" w14:paraId="00000012">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1134"/>
        </w:tabs>
        <w:spacing w:after="120" w:before="120" w:line="240" w:lineRule="auto"/>
        <w:ind w:left="900" w:hanging="576"/>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tabs>
          <w:tab w:val="left" w:pos="1134"/>
        </w:tabs>
        <w:spacing w:after="120" w:before="120" w:line="240" w:lineRule="auto"/>
        <w:ind w:left="900" w:hanging="54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Action Plan shall be maintained and updated on an ongoing basis by CCS. Any changes to the Supplier Action Plan shall be notified by CCS to the Supplier. The Supplier shall not unreasonably withhold its agreement to any changes to the Supplier Action Plan. Any such changes shall, unless CCS otherwise Approves, be agreed between the Parties and come into</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effect within two weeks from receipt by the Supplier of CCS’s notification.</w:t>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tabs>
          <w:tab w:val="left" w:pos="1134"/>
        </w:tabs>
        <w:spacing w:after="120" w:before="120" w:line="240" w:lineRule="auto"/>
        <w:ind w:left="900" w:hanging="54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agrees to comply with its obligations in the Supplier Action Plan as updated from time to time.</w:t>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tabs>
          <w:tab w:val="left" w:pos="1134"/>
        </w:tabs>
        <w:spacing w:after="120" w:before="120" w:line="240" w:lineRule="auto"/>
        <w:ind w:left="900" w:hanging="54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comply with all requests from CCS in regard to compliance requirements as required including:</w:t>
      </w:r>
    </w:p>
    <w:p w:rsidR="00000000" w:rsidDel="00000000" w:rsidP="00000000" w:rsidRDefault="00000000" w:rsidRPr="00000000" w14:paraId="00000017">
      <w:pPr>
        <w:numPr>
          <w:ilvl w:val="2"/>
          <w:numId w:val="1"/>
        </w:numPr>
        <w:pBdr>
          <w:top w:space="0" w:sz="0" w:val="nil"/>
          <w:left w:space="0" w:sz="0" w:val="nil"/>
          <w:bottom w:space="0" w:sz="0" w:val="nil"/>
          <w:right w:space="0" w:sz="0" w:val="nil"/>
          <w:between w:space="0" w:sz="0" w:val="nil"/>
        </w:pBdr>
        <w:tabs>
          <w:tab w:val="left" w:pos="1985"/>
        </w:tabs>
        <w:spacing w:after="120" w:before="120" w:line="24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Dun and Bradstreet risk failure score monitoring;</w:t>
      </w:r>
    </w:p>
    <w:p w:rsidR="00000000" w:rsidDel="00000000" w:rsidP="00000000" w:rsidRDefault="00000000" w:rsidRPr="00000000" w14:paraId="00000018">
      <w:pPr>
        <w:numPr>
          <w:ilvl w:val="2"/>
          <w:numId w:val="1"/>
        </w:numPr>
        <w:pBdr>
          <w:top w:space="0" w:sz="0" w:val="nil"/>
          <w:left w:space="0" w:sz="0" w:val="nil"/>
          <w:bottom w:space="0" w:sz="0" w:val="nil"/>
          <w:right w:space="0" w:sz="0" w:val="nil"/>
          <w:between w:space="0" w:sz="0" w:val="nil"/>
        </w:pBdr>
        <w:tabs>
          <w:tab w:val="left" w:pos="1985"/>
        </w:tabs>
        <w:spacing w:after="120" w:before="120" w:line="24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regular evidence that the Required Insurances and Additional Insurances have been renewed and maintained;</w:t>
      </w:r>
    </w:p>
    <w:p w:rsidR="00000000" w:rsidDel="00000000" w:rsidP="00000000" w:rsidRDefault="00000000" w:rsidRPr="00000000" w14:paraId="00000019">
      <w:pPr>
        <w:numPr>
          <w:ilvl w:val="2"/>
          <w:numId w:val="1"/>
        </w:numPr>
        <w:pBdr>
          <w:top w:space="0" w:sz="0" w:val="nil"/>
          <w:left w:space="0" w:sz="0" w:val="nil"/>
          <w:bottom w:space="0" w:sz="0" w:val="nil"/>
          <w:right w:space="0" w:sz="0" w:val="nil"/>
          <w:between w:space="0" w:sz="0" w:val="nil"/>
        </w:pBdr>
        <w:tabs>
          <w:tab w:val="left" w:pos="1985"/>
        </w:tabs>
        <w:spacing w:after="120" w:before="120" w:line="24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invoice payment performance; and</w:t>
      </w:r>
    </w:p>
    <w:p w:rsidR="00000000" w:rsidDel="00000000" w:rsidP="00000000" w:rsidRDefault="00000000" w:rsidRPr="00000000" w14:paraId="0000001A">
      <w:pPr>
        <w:numPr>
          <w:ilvl w:val="2"/>
          <w:numId w:val="1"/>
        </w:numPr>
        <w:pBdr>
          <w:top w:space="0" w:sz="0" w:val="nil"/>
          <w:left w:space="0" w:sz="0" w:val="nil"/>
          <w:bottom w:space="0" w:sz="0" w:val="nil"/>
          <w:right w:space="0" w:sz="0" w:val="nil"/>
          <w:between w:space="0" w:sz="0" w:val="nil"/>
        </w:pBdr>
        <w:tabs>
          <w:tab w:val="left" w:pos="1985"/>
        </w:tabs>
        <w:spacing w:after="120" w:before="120" w:line="24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verification of required accreditations &amp; certifications.  </w:t>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tabs>
          <w:tab w:val="left" w:pos="1134"/>
        </w:tabs>
        <w:spacing w:after="120" w:before="120" w:line="240" w:lineRule="auto"/>
        <w:ind w:left="720" w:hanging="360"/>
        <w:jc w:val="both"/>
        <w:rPr>
          <w:rFonts w:ascii="Arial" w:cs="Arial" w:eastAsia="Arial" w:hAnsi="Arial"/>
          <w:color w:val="000000"/>
          <w:sz w:val="24"/>
          <w:szCs w:val="24"/>
        </w:rPr>
      </w:pPr>
      <w:bookmarkStart w:colFirst="0" w:colLast="0" w:name="_heading=h.30j0zll" w:id="1"/>
      <w:bookmarkEnd w:id="1"/>
      <w:r w:rsidDel="00000000" w:rsidR="00000000" w:rsidRPr="00000000">
        <w:rPr>
          <w:rFonts w:ascii="Arial" w:cs="Arial" w:eastAsia="Arial" w:hAnsi="Arial"/>
          <w:color w:val="000000"/>
          <w:sz w:val="24"/>
          <w:szCs w:val="24"/>
          <w:rtl w:val="0"/>
        </w:rPr>
        <w:t xml:space="preserve">Suppliers should participate in further competitions when identified as part of the final bidder list. Failure to bid on further competitions without an acceptable reason may result in the Supplier being suspended from the Framework, in accordance with Clause 10.7 of the Core Terms (Partially ending and suspending the contract), for a period as decided by CCS. </w:t>
      </w:r>
    </w:p>
    <w:p w:rsidR="00000000" w:rsidDel="00000000" w:rsidP="00000000" w:rsidRDefault="00000000" w:rsidRPr="00000000" w14:paraId="0000001C">
      <w:pPr>
        <w:keepNext w:val="1"/>
        <w:pBdr>
          <w:top w:space="0" w:sz="0" w:val="nil"/>
          <w:left w:space="0" w:sz="0" w:val="nil"/>
          <w:bottom w:space="0" w:sz="0" w:val="nil"/>
          <w:right w:space="0" w:sz="0" w:val="nil"/>
          <w:between w:space="0" w:sz="0" w:val="nil"/>
        </w:pBdr>
        <w:tabs>
          <w:tab w:val="left" w:pos="1134"/>
        </w:tabs>
        <w:spacing w:after="120" w:before="120" w:line="240" w:lineRule="auto"/>
        <w:ind w:left="720" w:hanging="360"/>
        <w:rPr>
          <w:rFonts w:ascii="Arial" w:cs="Arial" w:eastAsia="Arial" w:hAnsi="Arial"/>
          <w:b w:val="1"/>
          <w:color w:val="000000"/>
          <w:sz w:val="24"/>
          <w:szCs w:val="24"/>
        </w:rPr>
      </w:pPr>
      <w:bookmarkStart w:colFirst="0" w:colLast="0" w:name="_heading=h.1fob9te" w:id="2"/>
      <w:bookmarkEnd w:id="2"/>
      <w:r w:rsidDel="00000000" w:rsidR="00000000" w:rsidRPr="00000000">
        <w:rPr>
          <w:rFonts w:ascii="Arial" w:cs="Arial" w:eastAsia="Arial" w:hAnsi="Arial"/>
          <w:b w:val="1"/>
          <w:color w:val="000000"/>
          <w:sz w:val="24"/>
          <w:szCs w:val="24"/>
          <w:rtl w:val="0"/>
        </w:rPr>
        <w:t xml:space="preserve">Supplier Review Meetings</w:t>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tabs>
          <w:tab w:val="left" w:pos="1134"/>
        </w:tabs>
        <w:spacing w:after="120" w:before="120" w:line="240" w:lineRule="auto"/>
        <w:ind w:left="900" w:hanging="540"/>
        <w:rPr>
          <w:rFonts w:ascii="Arial" w:cs="Arial" w:eastAsia="Arial" w:hAnsi="Arial"/>
          <w:color w:val="000000"/>
          <w:sz w:val="24"/>
          <w:szCs w:val="24"/>
        </w:rPr>
      </w:pPr>
      <w:bookmarkStart w:colFirst="0" w:colLast="0" w:name="_heading=h.3znysh7" w:id="3"/>
      <w:bookmarkEnd w:id="3"/>
      <w:r w:rsidDel="00000000" w:rsidR="00000000" w:rsidRPr="00000000">
        <w:rPr>
          <w:rFonts w:ascii="Arial" w:cs="Arial" w:eastAsia="Arial" w:hAnsi="Arial"/>
          <w:color w:val="000000"/>
          <w:sz w:val="24"/>
          <w:szCs w:val="24"/>
          <w:rtl w:val="0"/>
        </w:rPr>
        <w:t xml:space="preserve">Regular performance review meetings will take place at a location to be agreed throughout the Framework Contract Period</w:t>
      </w:r>
      <w:r w:rsidDel="00000000" w:rsidR="00000000" w:rsidRPr="00000000">
        <w:rPr>
          <w:rFonts w:ascii="Arial" w:cs="Arial" w:eastAsia="Arial" w:hAnsi="Arial"/>
          <w:b w:val="1"/>
          <w:color w:val="000000"/>
          <w:sz w:val="24"/>
          <w:szCs w:val="24"/>
          <w:rtl w:val="0"/>
        </w:rPr>
        <w:t xml:space="preserve"> ("Supplier Review Meetings")</w:t>
      </w:r>
      <w:r w:rsidDel="00000000" w:rsidR="00000000" w:rsidRPr="00000000">
        <w:rPr>
          <w:rFonts w:ascii="Arial" w:cs="Arial" w:eastAsia="Arial" w:hAnsi="Arial"/>
          <w:color w:val="000000"/>
          <w:sz w:val="24"/>
          <w:szCs w:val="24"/>
          <w:rtl w:val="0"/>
        </w:rPr>
        <w:t xml:space="preserve"> at such times and frequencies as CCS determine from time to time (which are anticipated to be once every Month or less)</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 The Parties shall be flexible about the timings of these meetings.</w:t>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tabs>
          <w:tab w:val="left" w:pos="1134"/>
        </w:tabs>
        <w:spacing w:after="120" w:before="120" w:line="240" w:lineRule="auto"/>
        <w:ind w:left="900" w:hanging="54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Review Meetings will review the Supplier’s performance under this Contract, review and discuss the social value Framework</w:t>
      </w:r>
      <w:r w:rsidDel="00000000" w:rsidR="00000000" w:rsidRPr="00000000">
        <w:rPr>
          <w:rFonts w:ascii="Arial" w:cs="Arial" w:eastAsia="Arial" w:hAnsi="Arial"/>
          <w:color w:val="202124"/>
          <w:sz w:val="24"/>
          <w:szCs w:val="24"/>
          <w:highlight w:val="white"/>
          <w:rtl w:val="0"/>
        </w:rPr>
        <w:t xml:space="preserve"> Quarterly Performance Indicator Submission Form</w:t>
      </w:r>
      <w:r w:rsidDel="00000000" w:rsidR="00000000" w:rsidRPr="00000000">
        <w:rPr>
          <w:rFonts w:ascii="Arial" w:cs="Arial" w:eastAsia="Arial" w:hAnsi="Arial"/>
          <w:color w:val="000000"/>
          <w:sz w:val="24"/>
          <w:szCs w:val="24"/>
          <w:rtl w:val="0"/>
        </w:rPr>
        <w:t xml:space="preserve"> and, where applicable, the Supplier’s adherence to the Supplier Action Plan. The agenda for each Supplier Review Meeting shall be set by CCS and sent to the Supplier in advance.</w:t>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tabs>
          <w:tab w:val="left" w:pos="1134"/>
        </w:tabs>
        <w:spacing w:after="120" w:before="120" w:line="240" w:lineRule="auto"/>
        <w:ind w:left="900" w:hanging="54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CCS may ask the Supplier to discuss any instances known to the Supplier where any Other Contracting Authority decided not to use this Framework Contract for their order.</w:t>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tabs>
          <w:tab w:val="left" w:pos="1134"/>
        </w:tabs>
        <w:spacing w:after="120" w:before="120" w:line="240" w:lineRule="auto"/>
        <w:ind w:left="900" w:hanging="54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Review Meetings shall be attended, as a minimum, by CCS Representative(s) and the Supplier Framework Manager.</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pos="1134"/>
        </w:tabs>
        <w:spacing w:after="120" w:before="120" w:line="240" w:lineRule="auto"/>
        <w:ind w:left="900" w:hanging="576"/>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2">
      <w:pPr>
        <w:keepNext w:val="1"/>
        <w:numPr>
          <w:ilvl w:val="0"/>
          <w:numId w:val="1"/>
        </w:numPr>
        <w:pBdr>
          <w:top w:space="0" w:sz="0" w:val="nil"/>
          <w:left w:space="0" w:sz="0" w:val="nil"/>
          <w:bottom w:space="0" w:sz="0" w:val="nil"/>
          <w:right w:space="0" w:sz="0" w:val="nil"/>
          <w:between w:space="0" w:sz="0" w:val="nil"/>
        </w:pBdr>
        <w:tabs>
          <w:tab w:val="left" w:pos="142"/>
        </w:tabs>
        <w:spacing w:after="240" w:before="12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How the Supplier’s Performance will be measured</w:t>
      </w:r>
    </w:p>
    <w:p w:rsidR="00000000" w:rsidDel="00000000" w:rsidP="00000000" w:rsidRDefault="00000000" w:rsidRPr="00000000" w14:paraId="00000023">
      <w:pPr>
        <w:keepNext w:val="1"/>
        <w:numPr>
          <w:ilvl w:val="1"/>
          <w:numId w:val="1"/>
        </w:numPr>
        <w:pBdr>
          <w:top w:space="0" w:sz="0" w:val="nil"/>
          <w:left w:space="0" w:sz="0" w:val="nil"/>
          <w:bottom w:space="0" w:sz="0" w:val="nil"/>
          <w:right w:space="0" w:sz="0" w:val="nil"/>
          <w:between w:space="0" w:sz="0" w:val="nil"/>
        </w:pBdr>
        <w:tabs>
          <w:tab w:val="left" w:pos="1134"/>
        </w:tabs>
        <w:spacing w:after="120" w:before="120" w:line="240" w:lineRule="auto"/>
        <w:ind w:left="900" w:hanging="54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Supplier’s performance will be measured by the following Performance Indicators (“PI”):</w:t>
      </w:r>
    </w:p>
    <w:p w:rsidR="00000000" w:rsidDel="00000000" w:rsidP="00000000" w:rsidRDefault="00000000" w:rsidRPr="00000000" w14:paraId="00000024">
      <w:pPr>
        <w:keepNext w:val="1"/>
        <w:pBdr>
          <w:top w:space="0" w:sz="0" w:val="nil"/>
          <w:left w:space="0" w:sz="0" w:val="nil"/>
          <w:bottom w:space="0" w:sz="0" w:val="nil"/>
          <w:right w:space="0" w:sz="0" w:val="nil"/>
          <w:between w:space="0" w:sz="0" w:val="nil"/>
        </w:pBdr>
        <w:tabs>
          <w:tab w:val="left" w:pos="1134"/>
        </w:tabs>
        <w:spacing w:after="120" w:before="120" w:line="240" w:lineRule="auto"/>
        <w:ind w:left="90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5">
      <w:pPr>
        <w:keepNext w:val="1"/>
        <w:tabs>
          <w:tab w:val="left" w:pos="1134"/>
        </w:tabs>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bl>
      <w:tblPr>
        <w:tblStyle w:val="Table2"/>
        <w:tblW w:w="888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35"/>
        <w:gridCol w:w="1515"/>
        <w:gridCol w:w="3330"/>
        <w:tblGridChange w:id="0">
          <w:tblGrid>
            <w:gridCol w:w="4035"/>
            <w:gridCol w:w="1515"/>
            <w:gridCol w:w="3330"/>
          </w:tblGrid>
        </w:tblGridChange>
      </w:tblGrid>
      <w:tr>
        <w:trPr>
          <w:cantSplit w:val="0"/>
          <w:trHeight w:val="975"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26">
            <w:pPr>
              <w:keepNext w:val="1"/>
              <w:tabs>
                <w:tab w:val="left" w:pos="1134"/>
              </w:tabs>
              <w:spacing w:after="240" w:before="240" w:lineRule="auto"/>
              <w:ind w:left="60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Performance Indicator (PI)</w:t>
            </w:r>
          </w:p>
        </w:tc>
        <w:tc>
          <w:tcPr>
            <w:tcBorders>
              <w:top w:color="000000" w:space="0" w:sz="8" w:val="single"/>
              <w:left w:color="000000" w:space="0" w:sz="0" w:val="nil"/>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27">
            <w:pPr>
              <w:keepNext w:val="1"/>
              <w:tabs>
                <w:tab w:val="left" w:pos="1134"/>
              </w:tabs>
              <w:spacing w:after="240" w:befor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PI Target</w:t>
            </w:r>
          </w:p>
        </w:tc>
        <w:tc>
          <w:tcPr>
            <w:tcBorders>
              <w:top w:color="000000" w:space="0" w:sz="8" w:val="single"/>
              <w:left w:color="000000" w:space="0" w:sz="0" w:val="nil"/>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28">
            <w:pPr>
              <w:keepNext w:val="1"/>
              <w:tabs>
                <w:tab w:val="left" w:pos="1134"/>
              </w:tabs>
              <w:spacing w:after="240" w:before="240" w:lineRule="auto"/>
              <w:ind w:left="60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Measured by</w:t>
            </w:r>
          </w:p>
        </w:tc>
      </w:tr>
      <w:tr>
        <w:trPr>
          <w:cantSplit w:val="0"/>
          <w:trHeight w:val="735" w:hRule="atLeast"/>
          <w:tblHeader w:val="0"/>
        </w:trPr>
        <w:tc>
          <w:tcPr>
            <w:gridSpan w:val="3"/>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9">
            <w:pPr>
              <w:keepNext w:val="1"/>
              <w:tabs>
                <w:tab w:val="left" w:pos="1134"/>
              </w:tabs>
              <w:spacing w:after="120" w:before="120" w:lineRule="auto"/>
              <w:jc w:val="center"/>
              <w:rPr>
                <w:rFonts w:ascii="Arial" w:cs="Arial" w:eastAsia="Arial" w:hAnsi="Arial"/>
                <w:b w:val="1"/>
                <w:sz w:val="24"/>
                <w:szCs w:val="24"/>
              </w:rPr>
            </w:pPr>
            <w:bookmarkStart w:colFirst="0" w:colLast="0" w:name="_heading=h.3rdcrjn" w:id="4"/>
            <w:bookmarkEnd w:id="4"/>
            <w:r w:rsidDel="00000000" w:rsidR="00000000" w:rsidRPr="00000000">
              <w:rPr>
                <w:rFonts w:ascii="Arial" w:cs="Arial" w:eastAsia="Arial" w:hAnsi="Arial"/>
                <w:b w:val="1"/>
                <w:sz w:val="24"/>
                <w:szCs w:val="24"/>
                <w:rtl w:val="0"/>
              </w:rPr>
              <w:t xml:space="preserve">1.  FRAMEWORK MANAGEMENT</w:t>
            </w:r>
          </w:p>
        </w:tc>
      </w:tr>
      <w:tr>
        <w:trPr>
          <w:cantSplit w:val="0"/>
          <w:trHeight w:val="29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C">
            <w:pPr>
              <w:keepNext w:val="1"/>
              <w:tabs>
                <w:tab w:val="left" w:pos="1134"/>
              </w:tabs>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1.1 MI returns: All accurate MI returns to be returned to CCS by the 5</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Working Day of each month.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D">
            <w:pPr>
              <w:keepNext w:val="1"/>
              <w:tabs>
                <w:tab w:val="left" w:pos="1134"/>
              </w:tabs>
              <w:spacing w:after="240" w:befor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E">
            <w:pPr>
              <w:keepNext w:val="1"/>
              <w:tabs>
                <w:tab w:val="left" w:pos="1134"/>
              </w:tabs>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Confirmation of receipt and time of receipt by the Authority (as evidenced within the Authority’s data warehouse (MISO) system).</w:t>
            </w:r>
          </w:p>
        </w:tc>
      </w:tr>
      <w:tr>
        <w:trPr>
          <w:cantSplit w:val="0"/>
          <w:trHeight w:val="26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F">
            <w:pPr>
              <w:keepNext w:val="1"/>
              <w:tabs>
                <w:tab w:val="left" w:pos="1134"/>
              </w:tabs>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1.2 All undisputed CCS invoices to be paid within 30 calendar days of issue.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0">
            <w:pPr>
              <w:keepNext w:val="1"/>
              <w:tabs>
                <w:tab w:val="left" w:pos="1134"/>
              </w:tabs>
              <w:spacing w:after="240" w:befor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1">
            <w:pPr>
              <w:keepNext w:val="1"/>
              <w:tabs>
                <w:tab w:val="left" w:pos="1134"/>
              </w:tabs>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Confirmation of receipt and time of receipt by the Authority. </w:t>
            </w:r>
          </w:p>
        </w:tc>
      </w:tr>
      <w:tr>
        <w:trPr>
          <w:cantSplit w:val="0"/>
          <w:trHeight w:val="18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2">
            <w:pPr>
              <w:keepNext w:val="1"/>
              <w:tabs>
                <w:tab w:val="left" w:pos="1134"/>
              </w:tabs>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1.3 Supplier self-audit certificate to be issued to the Authority in accordance with the Framework Agreement.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3">
            <w:pPr>
              <w:keepNext w:val="1"/>
              <w:tabs>
                <w:tab w:val="left" w:pos="1134"/>
              </w:tabs>
              <w:spacing w:after="240" w:befor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4">
            <w:pPr>
              <w:keepNext w:val="1"/>
              <w:tabs>
                <w:tab w:val="left" w:pos="1134"/>
              </w:tabs>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Confirmation of receipt and time of receipt by the Authority.</w:t>
            </w:r>
          </w:p>
        </w:tc>
      </w:tr>
      <w:tr>
        <w:trPr>
          <w:cantSplit w:val="0"/>
          <w:trHeight w:val="23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5">
            <w:pPr>
              <w:keepNext w:val="1"/>
              <w:tabs>
                <w:tab w:val="left" w:pos="1134"/>
              </w:tabs>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1.4 Actions identified in an Audit Report to be delivered by the dates set out in the Audit Report.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6">
            <w:pPr>
              <w:keepNext w:val="1"/>
              <w:tabs>
                <w:tab w:val="left" w:pos="1134"/>
              </w:tabs>
              <w:spacing w:after="240" w:befor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7">
            <w:pPr>
              <w:keepNext w:val="1"/>
              <w:tabs>
                <w:tab w:val="left" w:pos="1134"/>
              </w:tabs>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Confirmation by the Authority of completion of the actions by the dates identified in the Audit Report.</w:t>
            </w:r>
          </w:p>
        </w:tc>
      </w:tr>
      <w:tr>
        <w:trPr>
          <w:cantSplit w:val="0"/>
          <w:trHeight w:val="19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8">
            <w:pPr>
              <w:keepNext w:val="1"/>
              <w:tabs>
                <w:tab w:val="left" w:pos="1134"/>
              </w:tabs>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1.5 Supplier to make payments to all sub-contracted in line with the agreed payment terms.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9">
            <w:pPr>
              <w:keepNext w:val="1"/>
              <w:tabs>
                <w:tab w:val="left" w:pos="1134"/>
              </w:tabs>
              <w:spacing w:after="240" w:befor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Monthly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A">
            <w:pPr>
              <w:keepNext w:val="1"/>
              <w:tabs>
                <w:tab w:val="left" w:pos="1134"/>
              </w:tabs>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B">
            <w:pPr>
              <w:keepNext w:val="1"/>
              <w:tabs>
                <w:tab w:val="left" w:pos="1134"/>
              </w:tabs>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Evidence provided in the monthly performance report submitted to the Authority.</w:t>
            </w:r>
          </w:p>
        </w:tc>
      </w:tr>
      <w:tr>
        <w:trPr>
          <w:cantSplit w:val="0"/>
          <w:trHeight w:val="14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C">
            <w:pPr>
              <w:keepNext w:val="1"/>
              <w:tabs>
                <w:tab w:val="left" w:pos="1134"/>
              </w:tabs>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1.6 Technology Systems availability 99.99%.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D">
            <w:pPr>
              <w:keepNext w:val="1"/>
              <w:tabs>
                <w:tab w:val="left" w:pos="1134"/>
              </w:tabs>
              <w:spacing w:after="240" w:befor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Monthly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E">
            <w:pPr>
              <w:keepNext w:val="1"/>
              <w:tabs>
                <w:tab w:val="left" w:pos="1134"/>
              </w:tabs>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F">
            <w:pPr>
              <w:keepNext w:val="1"/>
              <w:tabs>
                <w:tab w:val="left" w:pos="1134"/>
              </w:tabs>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Notification from Supplier of any non-availability.</w:t>
            </w:r>
          </w:p>
        </w:tc>
      </w:tr>
      <w:tr>
        <w:trPr>
          <w:cantSplit w:val="0"/>
          <w:trHeight w:val="14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0">
            <w:pPr>
              <w:keepNext w:val="1"/>
              <w:tabs>
                <w:tab w:val="left" w:pos="1134"/>
              </w:tabs>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1.7 Social Value: Supplier to provide an annual Social Value delivery statement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1">
            <w:pPr>
              <w:keepNext w:val="1"/>
              <w:tabs>
                <w:tab w:val="left" w:pos="1134"/>
              </w:tabs>
              <w:spacing w:after="240" w:befor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Yearly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2">
            <w:pPr>
              <w:keepNext w:val="1"/>
              <w:tabs>
                <w:tab w:val="left" w:pos="1134"/>
              </w:tabs>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Confirmation of receipt and time of receipt by CCS.</w:t>
            </w:r>
          </w:p>
        </w:tc>
      </w:tr>
      <w:tr>
        <w:trPr>
          <w:cantSplit w:val="0"/>
          <w:trHeight w:val="14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pos="1985"/>
              </w:tabs>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1.8 Supplier Accreditations and Insurances</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4"/>
                <w:szCs w:val="24"/>
                <w:rtl w:val="0"/>
              </w:rPr>
              <w:t xml:space="preserve">Supplier to provide to CCS evidence that the Required Insurances, Additional Insurances and Accreditations have been renewed and maintained;</w:t>
            </w:r>
          </w:p>
          <w:p w:rsidR="00000000" w:rsidDel="00000000" w:rsidP="00000000" w:rsidRDefault="00000000" w:rsidRPr="00000000" w14:paraId="00000044">
            <w:pPr>
              <w:keepNext w:val="1"/>
              <w:tabs>
                <w:tab w:val="left" w:pos="1134"/>
              </w:tabs>
              <w:spacing w:after="240" w:before="240" w:lineRule="auto"/>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5">
            <w:pPr>
              <w:keepNext w:val="1"/>
              <w:tabs>
                <w:tab w:val="left" w:pos="1134"/>
              </w:tabs>
              <w:spacing w:after="240" w:before="240" w:lineRule="auto"/>
              <w:jc w:val="center"/>
              <w:rPr>
                <w:rFonts w:ascii="Arial" w:cs="Arial" w:eastAsia="Arial" w:hAnsi="Arial"/>
                <w:b w:val="1"/>
                <w:sz w:val="24"/>
                <w:szCs w:val="24"/>
              </w:rPr>
            </w:pPr>
            <w:bookmarkStart w:colFirst="0" w:colLast="0" w:name="_heading=h.17dp8vu" w:id="5"/>
            <w:bookmarkEnd w:id="5"/>
            <w:r w:rsidDel="00000000" w:rsidR="00000000" w:rsidRPr="00000000">
              <w:rPr>
                <w:rFonts w:ascii="Arial" w:cs="Arial" w:eastAsia="Arial" w:hAnsi="Arial"/>
                <w:b w:val="1"/>
                <w:sz w:val="24"/>
                <w:szCs w:val="24"/>
                <w:rtl w:val="0"/>
              </w:rPr>
              <w:t xml:space="preserve">Ongoing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6">
            <w:pPr>
              <w:keepNext w:val="1"/>
              <w:tabs>
                <w:tab w:val="left" w:pos="1134"/>
              </w:tabs>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Confirmation of receipt and time of receipt by CCS.</w:t>
            </w:r>
          </w:p>
        </w:tc>
      </w:tr>
      <w:tr>
        <w:trPr>
          <w:cantSplit w:val="0"/>
          <w:trHeight w:val="975" w:hRule="atLeast"/>
          <w:tblHeader w:val="0"/>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7">
            <w:pPr>
              <w:keepNext w:val="1"/>
              <w:tabs>
                <w:tab w:val="left" w:pos="1134"/>
              </w:tabs>
              <w:spacing w:after="240" w:befor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  OPERATIONAL EFFICIENCY / DEMAND MANAGEMENT SAVINGS</w:t>
            </w:r>
          </w:p>
        </w:tc>
      </w:tr>
      <w:tr>
        <w:trPr>
          <w:cantSplit w:val="0"/>
          <w:trHeight w:val="26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A">
            <w:pPr>
              <w:keepNext w:val="1"/>
              <w:tabs>
                <w:tab w:val="left" w:pos="1134"/>
              </w:tabs>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2.1 The Supplier to develop and deliver </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4"/>
                <w:szCs w:val="24"/>
                <w:rtl w:val="0"/>
              </w:rPr>
              <w:t xml:space="preserve">a Supplier Action Plan to derive further cost savings over the Framework Period via Continuous Improvement Plans and </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4"/>
                <w:szCs w:val="24"/>
                <w:rtl w:val="0"/>
              </w:rPr>
              <w:t xml:space="preserve">demonstration of innovative solutions.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B">
            <w:pPr>
              <w:keepNext w:val="1"/>
              <w:tabs>
                <w:tab w:val="left" w:pos="1134"/>
              </w:tabs>
              <w:spacing w:after="240" w:befor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100% </w:t>
            </w:r>
            <w:r w:rsidDel="00000000" w:rsidR="00000000" w:rsidRPr="00000000">
              <w:rPr>
                <w:rFonts w:ascii="Arial" w:cs="Arial" w:eastAsia="Arial" w:hAnsi="Arial"/>
                <w:sz w:val="24"/>
                <w:szCs w:val="24"/>
                <w:rtl w:val="0"/>
              </w:rPr>
              <w:t xml:space="preserve">where the supplier has control of the action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C">
            <w:pPr>
              <w:keepNext w:val="1"/>
              <w:tabs>
                <w:tab w:val="left" w:pos="1134"/>
              </w:tabs>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Confirmation by the Authority of the cost savings achieved by the date(s) identified in the Supplier Action Plan(s).</w:t>
            </w:r>
          </w:p>
        </w:tc>
      </w:tr>
      <w:tr>
        <w:trPr>
          <w:cantSplit w:val="0"/>
          <w:trHeight w:val="975" w:hRule="atLeast"/>
          <w:tblHeader w:val="0"/>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D">
            <w:pPr>
              <w:keepNext w:val="1"/>
              <w:tabs>
                <w:tab w:val="left" w:pos="1134"/>
              </w:tabs>
              <w:spacing w:after="240" w:befor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CUSTOMER SATISFACTION</w:t>
            </w:r>
          </w:p>
        </w:tc>
      </w:tr>
      <w:tr>
        <w:trPr>
          <w:cantSplit w:val="0"/>
          <w:trHeight w:val="26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0">
            <w:pPr>
              <w:keepNext w:val="1"/>
              <w:tabs>
                <w:tab w:val="left" w:pos="1134"/>
              </w:tabs>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3.1 Services to be provided under Call Off Contracts to the satisfaction of Contracting Authorities.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1">
            <w:pPr>
              <w:keepNext w:val="1"/>
              <w:tabs>
                <w:tab w:val="left" w:pos="1134"/>
              </w:tabs>
              <w:spacing w:after="240" w:befor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98%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2">
            <w:pPr>
              <w:keepNext w:val="1"/>
              <w:tabs>
                <w:tab w:val="left" w:pos="1134"/>
              </w:tabs>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Confirmation by the Authority of the Supplier’s performance against customer satisfaction surveys.</w:t>
            </w:r>
          </w:p>
        </w:tc>
      </w:tr>
      <w:tr>
        <w:trPr>
          <w:cantSplit w:val="0"/>
          <w:trHeight w:val="19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3">
            <w:pPr>
              <w:keepNext w:val="1"/>
              <w:tabs>
                <w:tab w:val="left" w:pos="1134"/>
              </w:tabs>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3.2 Less than 10 complaints received in 1 month, with all complaints acknowledged within 24 hours and action to resolve complaints agreed within 5 Working Days.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4">
            <w:pPr>
              <w:keepNext w:val="1"/>
              <w:tabs>
                <w:tab w:val="left" w:pos="1134"/>
              </w:tabs>
              <w:spacing w:after="240" w:befor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Monthly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5">
            <w:pPr>
              <w:keepNext w:val="1"/>
              <w:tabs>
                <w:tab w:val="left" w:pos="1134"/>
              </w:tabs>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6">
            <w:pPr>
              <w:keepNext w:val="1"/>
              <w:tabs>
                <w:tab w:val="left" w:pos="1134"/>
              </w:tabs>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Evidence provided in the monthly performance report submitted to the Authority.</w:t>
            </w:r>
          </w:p>
        </w:tc>
      </w:tr>
      <w:tr>
        <w:trPr>
          <w:cantSplit w:val="0"/>
          <w:trHeight w:val="780" w:hRule="atLeast"/>
          <w:tblHeader w:val="0"/>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7">
            <w:pPr>
              <w:keepNext w:val="1"/>
              <w:tabs>
                <w:tab w:val="left" w:pos="1134"/>
              </w:tabs>
              <w:spacing w:befor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COLLABORATIVE APPROACH TO RELATIONSHIP MANAGEMENT AND NEW BUSINESS</w:t>
            </w:r>
          </w:p>
        </w:tc>
      </w:tr>
      <w:tr>
        <w:trPr>
          <w:cantSplit w:val="0"/>
          <w:trHeight w:val="29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A">
            <w:pPr>
              <w:keepNext w:val="1"/>
              <w:tabs>
                <w:tab w:val="left" w:pos="1134"/>
              </w:tabs>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B">
            <w:pPr>
              <w:keepNext w:val="1"/>
              <w:tabs>
                <w:tab w:val="left" w:pos="1134"/>
              </w:tabs>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4.1 The Supplier will bring market intelligence, and where possible, new Contracting Authority requirements, to the CCS framework.</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C">
            <w:pPr>
              <w:keepNext w:val="1"/>
              <w:tabs>
                <w:tab w:val="left" w:pos="1134"/>
              </w:tabs>
              <w:spacing w:befor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5D">
            <w:pPr>
              <w:keepNext w:val="1"/>
              <w:tabs>
                <w:tab w:val="left" w:pos="1134"/>
              </w:tabs>
              <w:spacing w:befor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5E">
            <w:pPr>
              <w:keepNext w:val="1"/>
              <w:tabs>
                <w:tab w:val="left" w:pos="1134"/>
              </w:tabs>
              <w:spacing w:befor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Monthly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F">
            <w:pPr>
              <w:keepNext w:val="1"/>
              <w:tabs>
                <w:tab w:val="left" w:pos="1134"/>
              </w:tabs>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60">
            <w:pPr>
              <w:keepNext w:val="1"/>
              <w:tabs>
                <w:tab w:val="left" w:pos="1134"/>
              </w:tabs>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Confirmation by the Authority of the Suppliers performance against Collaborative approach to new business.</w:t>
            </w:r>
          </w:p>
        </w:tc>
      </w:tr>
      <w:tr>
        <w:trPr>
          <w:cantSplit w:val="0"/>
          <w:trHeight w:val="27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1">
            <w:pPr>
              <w:keepNext w:val="1"/>
              <w:tabs>
                <w:tab w:val="left" w:pos="1134"/>
              </w:tabs>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62">
            <w:pPr>
              <w:keepNext w:val="1"/>
              <w:tabs>
                <w:tab w:val="left" w:pos="1134"/>
              </w:tabs>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4.2 The Supplier will respond to all Contracting Authority market engagement activities.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3">
            <w:pPr>
              <w:keepNext w:val="1"/>
              <w:tabs>
                <w:tab w:val="left" w:pos="1134"/>
              </w:tabs>
              <w:spacing w:befor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64">
            <w:pPr>
              <w:keepNext w:val="1"/>
              <w:tabs>
                <w:tab w:val="left" w:pos="1134"/>
              </w:tabs>
              <w:spacing w:befor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Monthly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5">
            <w:pPr>
              <w:keepNext w:val="1"/>
              <w:tabs>
                <w:tab w:val="left" w:pos="1134"/>
              </w:tabs>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66">
            <w:pPr>
              <w:keepNext w:val="1"/>
              <w:tabs>
                <w:tab w:val="left" w:pos="1134"/>
              </w:tabs>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Confirmation by the Authority of the Suppliers performance against market engagement activity.</w:t>
            </w:r>
          </w:p>
        </w:tc>
      </w:tr>
      <w:tr>
        <w:trPr>
          <w:cantSplit w:val="0"/>
          <w:trHeight w:val="29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7">
            <w:pPr>
              <w:keepNext w:val="1"/>
              <w:tabs>
                <w:tab w:val="left" w:pos="1134"/>
              </w:tabs>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68">
            <w:pPr>
              <w:keepNext w:val="1"/>
              <w:tabs>
                <w:tab w:val="left" w:pos="1134"/>
              </w:tabs>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4.3 The Supplier will provide the Contracting Authority and CCS with rationale behind any decision to make no-bid at Call off level. This will include feedback for the Contracting Authority to consider around their approach to service delivery and Invitation to Tender.</w:t>
            </w:r>
          </w:p>
          <w:p w:rsidR="00000000" w:rsidDel="00000000" w:rsidP="00000000" w:rsidRDefault="00000000" w:rsidRPr="00000000" w14:paraId="00000069">
            <w:pPr>
              <w:keepNext w:val="1"/>
              <w:tabs>
                <w:tab w:val="left" w:pos="1134"/>
              </w:tabs>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A">
            <w:pPr>
              <w:keepNext w:val="1"/>
              <w:tabs>
                <w:tab w:val="left" w:pos="1134"/>
              </w:tabs>
              <w:spacing w:befor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6B">
            <w:pPr>
              <w:keepNext w:val="1"/>
              <w:tabs>
                <w:tab w:val="left" w:pos="1134"/>
              </w:tabs>
              <w:spacing w:befor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6C">
            <w:pPr>
              <w:keepNext w:val="1"/>
              <w:tabs>
                <w:tab w:val="left" w:pos="1134"/>
              </w:tabs>
              <w:spacing w:befor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Monthly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D">
            <w:pPr>
              <w:keepNext w:val="1"/>
              <w:tabs>
                <w:tab w:val="left" w:pos="1134"/>
              </w:tabs>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6E">
            <w:pPr>
              <w:keepNext w:val="1"/>
              <w:tabs>
                <w:tab w:val="left" w:pos="1134"/>
              </w:tabs>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Confirmation by the Authority of the Suppliers performance against engagement activities.</w:t>
            </w:r>
          </w:p>
        </w:tc>
      </w:tr>
      <w:tr>
        <w:trPr>
          <w:cantSplit w:val="0"/>
          <w:trHeight w:val="29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F">
            <w:pPr>
              <w:keepNext w:val="1"/>
              <w:tabs>
                <w:tab w:val="left" w:pos="1134"/>
              </w:tabs>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70">
            <w:pPr>
              <w:keepNext w:val="1"/>
              <w:tabs>
                <w:tab w:val="left" w:pos="1134"/>
              </w:tabs>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4.4 The Supplier will provide CCS with case study examples for all appropriate Call off contracts delivered, or other marketing collateral that may support new business development and/or sharing of industry best practice.</w:t>
            </w:r>
          </w:p>
          <w:p w:rsidR="00000000" w:rsidDel="00000000" w:rsidP="00000000" w:rsidRDefault="00000000" w:rsidRPr="00000000" w14:paraId="00000071">
            <w:pPr>
              <w:keepNext w:val="1"/>
              <w:tabs>
                <w:tab w:val="left" w:pos="1134"/>
              </w:tabs>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2">
            <w:pPr>
              <w:keepNext w:val="1"/>
              <w:tabs>
                <w:tab w:val="left" w:pos="1134"/>
              </w:tabs>
              <w:spacing w:befor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73">
            <w:pPr>
              <w:keepNext w:val="1"/>
              <w:tabs>
                <w:tab w:val="left" w:pos="1134"/>
              </w:tabs>
              <w:spacing w:befor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Annually </w:t>
            </w:r>
            <w:r w:rsidDel="00000000" w:rsidR="00000000" w:rsidRPr="00000000">
              <w:rPr>
                <w:rFonts w:ascii="Arial" w:cs="Arial" w:eastAsia="Arial" w:hAnsi="Arial"/>
                <w:sz w:val="24"/>
                <w:szCs w:val="24"/>
                <w:rtl w:val="0"/>
              </w:rPr>
              <w:t xml:space="preserve">(where appropriate with Contracting Authority approval)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4">
            <w:pPr>
              <w:keepNext w:val="1"/>
              <w:tabs>
                <w:tab w:val="left" w:pos="1134"/>
              </w:tabs>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75">
            <w:pPr>
              <w:keepNext w:val="1"/>
              <w:tabs>
                <w:tab w:val="left" w:pos="1134"/>
              </w:tabs>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Confirmation by the Authority of the Suppliers performance against case study and marketing materials.</w:t>
            </w:r>
          </w:p>
        </w:tc>
      </w:tr>
      <w:tr>
        <w:trPr>
          <w:cantSplit w:val="0"/>
          <w:trHeight w:val="26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6">
            <w:pPr>
              <w:keepNext w:val="1"/>
              <w:tabs>
                <w:tab w:val="left" w:pos="1134"/>
              </w:tabs>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77">
            <w:pPr>
              <w:keepNext w:val="1"/>
              <w:tabs>
                <w:tab w:val="left" w:pos="1134"/>
              </w:tabs>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4.5 The Supplier will deliver added value to the CCS framework and Contracting Authorities via environmental, social and/or economic policies that have an impact on our citizens and/or the environment.</w:t>
            </w:r>
          </w:p>
          <w:p w:rsidR="00000000" w:rsidDel="00000000" w:rsidP="00000000" w:rsidRDefault="00000000" w:rsidRPr="00000000" w14:paraId="00000078">
            <w:pPr>
              <w:keepNext w:val="1"/>
              <w:tabs>
                <w:tab w:val="left" w:pos="1134"/>
              </w:tabs>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9">
            <w:pPr>
              <w:keepNext w:val="1"/>
              <w:tabs>
                <w:tab w:val="left" w:pos="1134"/>
              </w:tabs>
              <w:spacing w:befor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7A">
            <w:pPr>
              <w:keepNext w:val="1"/>
              <w:tabs>
                <w:tab w:val="left" w:pos="1134"/>
              </w:tabs>
              <w:spacing w:befor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Monthly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B">
            <w:pPr>
              <w:keepNext w:val="1"/>
              <w:tabs>
                <w:tab w:val="left" w:pos="1134"/>
              </w:tabs>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7C">
            <w:pPr>
              <w:keepNext w:val="1"/>
              <w:tabs>
                <w:tab w:val="left" w:pos="1134"/>
              </w:tabs>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Confirmation by the Authority of the Suppliers performance against social value activities.</w:t>
            </w:r>
          </w:p>
        </w:tc>
      </w:tr>
      <w:tr>
        <w:trPr>
          <w:cantSplit w:val="0"/>
          <w:trHeight w:val="975" w:hRule="atLeast"/>
          <w:tblHeader w:val="0"/>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D">
            <w:pPr>
              <w:keepNext w:val="1"/>
              <w:tabs>
                <w:tab w:val="left" w:pos="1134"/>
              </w:tabs>
              <w:spacing w:after="240" w:befor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 CONTRACT GOVERNANCE</w:t>
            </w:r>
          </w:p>
        </w:tc>
      </w:tr>
      <w:tr>
        <w:trPr>
          <w:cantSplit w:val="0"/>
          <w:trHeight w:val="23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0">
            <w:pPr>
              <w:keepNext w:val="1"/>
              <w:tabs>
                <w:tab w:val="left" w:pos="1134"/>
              </w:tabs>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5.1 The supplier to attend all contract governance meetings, including any CCSty forums where invited. The Supplier Framework owner, or suitable deputy, must be in attendance.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1">
            <w:pPr>
              <w:keepNext w:val="1"/>
              <w:tabs>
                <w:tab w:val="left" w:pos="1134"/>
              </w:tabs>
              <w:spacing w:after="240" w:befor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2">
            <w:pPr>
              <w:keepNext w:val="1"/>
              <w:tabs>
                <w:tab w:val="left" w:pos="1134"/>
              </w:tabs>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Confirmation by the Authority of the supplier performance for contract governance.</w:t>
            </w:r>
          </w:p>
        </w:tc>
      </w:tr>
    </w:tbl>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after="0" w:lineRule="auto"/>
        <w:rPr>
          <w:rFonts w:ascii="Arial" w:cs="Arial" w:eastAsia="Arial" w:hAnsi="Arial"/>
          <w:sz w:val="24"/>
          <w:szCs w:val="24"/>
        </w:rPr>
      </w:pPr>
      <w:r w:rsidDel="00000000" w:rsidR="00000000" w:rsidRPr="00000000">
        <w:rPr>
          <w:rtl w:val="0"/>
        </w:rPr>
      </w:r>
    </w:p>
    <w:tbl>
      <w:tblPr>
        <w:tblStyle w:val="Table3"/>
        <w:tblW w:w="888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35"/>
        <w:gridCol w:w="1515"/>
        <w:gridCol w:w="3330"/>
        <w:tblGridChange w:id="0">
          <w:tblGrid>
            <w:gridCol w:w="4035"/>
            <w:gridCol w:w="1515"/>
            <w:gridCol w:w="3330"/>
          </w:tblGrid>
        </w:tblGridChange>
      </w:tblGrid>
      <w:tr>
        <w:trPr>
          <w:cantSplit w:val="0"/>
          <w:trHeight w:val="975" w:hRule="atLeast"/>
          <w:tblHeader w:val="0"/>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4">
            <w:pPr>
              <w:keepNext w:val="1"/>
              <w:tabs>
                <w:tab w:val="left" w:pos="1134"/>
              </w:tabs>
              <w:spacing w:after="240" w:befor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 SOCIAL VALUE </w:t>
            </w:r>
          </w:p>
        </w:tc>
      </w:tr>
      <w:tr>
        <w:trPr>
          <w:cantSplit w:val="0"/>
          <w:trHeight w:val="23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7">
            <w:pPr>
              <w:keepNext w:val="1"/>
              <w:tabs>
                <w:tab w:val="left" w:pos="1134"/>
              </w:tabs>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6.1 The supplier to submit accurate Social Value returns. </w:t>
            </w:r>
          </w:p>
          <w:p w:rsidR="00000000" w:rsidDel="00000000" w:rsidP="00000000" w:rsidRDefault="00000000" w:rsidRPr="00000000" w14:paraId="00000088">
            <w:pPr>
              <w:keepNext w:val="1"/>
              <w:tabs>
                <w:tab w:val="left" w:pos="1134"/>
              </w:tabs>
              <w:spacing w:after="240" w:before="240" w:lineRule="auto"/>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9">
            <w:pPr>
              <w:keepNext w:val="1"/>
              <w:tabs>
                <w:tab w:val="left" w:pos="1134"/>
              </w:tabs>
              <w:spacing w:after="240" w:befor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Quarterly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A">
            <w:pPr>
              <w:keepNext w:val="1"/>
              <w:tabs>
                <w:tab w:val="left" w:pos="1134"/>
              </w:tabs>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Confirmation of receipt of </w:t>
            </w:r>
            <w:r w:rsidDel="00000000" w:rsidR="00000000" w:rsidRPr="00000000">
              <w:rPr>
                <w:rFonts w:ascii="Arial" w:cs="Arial" w:eastAsia="Arial" w:hAnsi="Arial"/>
                <w:color w:val="202124"/>
                <w:sz w:val="24"/>
                <w:szCs w:val="24"/>
                <w:highlight w:val="white"/>
                <w:rtl w:val="0"/>
              </w:rPr>
              <w:t xml:space="preserve">Framework Quarterly Performance Indicator Submission Form</w:t>
            </w:r>
            <w:r w:rsidDel="00000000" w:rsidR="00000000" w:rsidRPr="00000000">
              <w:rPr>
                <w:rtl w:val="0"/>
              </w:rPr>
            </w:r>
          </w:p>
        </w:tc>
      </w:tr>
      <w:tr>
        <w:trPr>
          <w:cantSplit w:val="0"/>
          <w:trHeight w:val="1952" w:hRule="atLeast"/>
          <w:tblHeader w:val="0"/>
        </w:trPr>
        <w:tc>
          <w:tcPr>
            <w:tcBorders>
              <w:top w:color="000000" w:space="0" w:sz="0" w:val="nil"/>
              <w:left w:color="000000" w:space="0" w:sz="8" w:val="single"/>
              <w:bottom w:color="000000" w:space="0" w:sz="6"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B">
            <w:pPr>
              <w:keepNext w:val="1"/>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6.3 The Supplier shall submit a Carbon Reduction Plan (CRP) annually for the lifetime of the framework. </w:t>
            </w:r>
          </w:p>
          <w:p w:rsidR="00000000" w:rsidDel="00000000" w:rsidP="00000000" w:rsidRDefault="00000000" w:rsidRPr="00000000" w14:paraId="0000008C">
            <w:pPr>
              <w:keepNext w:val="1"/>
              <w:tabs>
                <w:tab w:val="left" w:pos="1134"/>
              </w:tabs>
              <w:spacing w:after="240" w:before="240" w:lineRule="auto"/>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D">
            <w:pPr>
              <w:keepNext w:val="1"/>
              <w:tabs>
                <w:tab w:val="left" w:pos="1134"/>
              </w:tabs>
              <w:spacing w:after="240" w:befor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Annually </w:t>
            </w:r>
          </w:p>
        </w:tc>
        <w:tc>
          <w:tcPr>
            <w:tcBorders>
              <w:top w:color="000000" w:space="0" w:sz="0" w:val="nil"/>
              <w:left w:color="000000" w:space="0" w:sz="0" w:val="nil"/>
              <w:bottom w:color="000000" w:space="0" w:sz="6"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E">
            <w:pPr>
              <w:keepNext w:val="1"/>
              <w:tabs>
                <w:tab w:val="left" w:pos="1134"/>
              </w:tabs>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Confirmation of receipt and time of receipt of a CRP by CCS</w:t>
            </w:r>
          </w:p>
        </w:tc>
      </w:tr>
      <w:tr>
        <w:trPr>
          <w:cantSplit w:val="0"/>
          <w:trHeight w:val="23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8F">
            <w:pPr>
              <w:keepNext w:val="1"/>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6.4 The Supplier shall complete the Modern Slavery Assessment Tool (MSAT) annually for the lifetime of the framework.</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90">
            <w:pPr>
              <w:keepNext w:val="1"/>
              <w:tabs>
                <w:tab w:val="left" w:pos="1134"/>
              </w:tabs>
              <w:spacing w:after="240" w:befor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Annually</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91">
            <w:pPr>
              <w:keepNext w:val="1"/>
              <w:tabs>
                <w:tab w:val="left" w:pos="1134"/>
              </w:tabs>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Confirmation of receipt of the Modern Slavery Assessment Tool</w:t>
            </w:r>
          </w:p>
        </w:tc>
      </w:tr>
    </w:tbl>
    <w:p w:rsidR="00000000" w:rsidDel="00000000" w:rsidP="00000000" w:rsidRDefault="00000000" w:rsidRPr="00000000" w14:paraId="00000092">
      <w:pPr>
        <w:tabs>
          <w:tab w:val="left" w:pos="1134"/>
        </w:tabs>
        <w:spacing w:after="120" w:before="12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3">
      <w:pPr>
        <w:numPr>
          <w:ilvl w:val="1"/>
          <w:numId w:val="1"/>
        </w:numPr>
        <w:pBdr>
          <w:top w:space="0" w:sz="0" w:val="nil"/>
          <w:left w:space="0" w:sz="0" w:val="nil"/>
          <w:bottom w:space="0" w:sz="0" w:val="nil"/>
          <w:right w:space="0" w:sz="0" w:val="nil"/>
          <w:between w:space="0" w:sz="0" w:val="nil"/>
        </w:pBdr>
        <w:tabs>
          <w:tab w:val="left" w:pos="1134"/>
        </w:tabs>
        <w:spacing w:after="120" w:before="120" w:line="240" w:lineRule="auto"/>
        <w:ind w:left="900" w:hanging="54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comply with the PIs and establish processes to monitor its performance against them and the Supplier’s achievement of PIs shall be reviewed during the Supplier Review Meetings. </w:t>
      </w:r>
    </w:p>
    <w:p w:rsidR="00000000" w:rsidDel="00000000" w:rsidP="00000000" w:rsidRDefault="00000000" w:rsidRPr="00000000" w14:paraId="00000094">
      <w:pPr>
        <w:numPr>
          <w:ilvl w:val="1"/>
          <w:numId w:val="1"/>
        </w:numPr>
        <w:pBdr>
          <w:top w:space="0" w:sz="0" w:val="nil"/>
          <w:left w:space="0" w:sz="0" w:val="nil"/>
          <w:bottom w:space="0" w:sz="0" w:val="nil"/>
          <w:right w:space="0" w:sz="0" w:val="nil"/>
          <w:between w:space="0" w:sz="0" w:val="nil"/>
        </w:pBdr>
        <w:tabs>
          <w:tab w:val="left" w:pos="1134"/>
        </w:tabs>
        <w:spacing w:after="120" w:before="120" w:line="240" w:lineRule="auto"/>
        <w:ind w:left="900" w:hanging="54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CCS reserves the right to adjust, introduce new, or remove PIs throughout the Framework Contract Period, however any significant changes to PIs shall be agreed between CCS and the Supplier in accordance with the Variation Procedure.</w:t>
      </w:r>
    </w:p>
    <w:p w:rsidR="00000000" w:rsidDel="00000000" w:rsidP="00000000" w:rsidRDefault="00000000" w:rsidRPr="00000000" w14:paraId="00000095">
      <w:pPr>
        <w:numPr>
          <w:ilvl w:val="1"/>
          <w:numId w:val="1"/>
        </w:numPr>
        <w:pBdr>
          <w:top w:space="0" w:sz="0" w:val="nil"/>
          <w:left w:space="0" w:sz="0" w:val="nil"/>
          <w:bottom w:space="0" w:sz="0" w:val="nil"/>
          <w:right w:space="0" w:sz="0" w:val="nil"/>
          <w:between w:space="0" w:sz="0" w:val="nil"/>
        </w:pBdr>
        <w:tabs>
          <w:tab w:val="left" w:pos="1134"/>
        </w:tabs>
        <w:spacing w:after="120" w:before="120" w:line="240" w:lineRule="auto"/>
        <w:ind w:left="720" w:hanging="360"/>
        <w:jc w:val="both"/>
        <w:rPr>
          <w:rFonts w:ascii="Arial" w:cs="Arial" w:eastAsia="Arial" w:hAnsi="Arial"/>
          <w:color w:val="000000"/>
          <w:sz w:val="24"/>
          <w:szCs w:val="24"/>
        </w:rPr>
      </w:pPr>
      <w:bookmarkStart w:colFirst="0" w:colLast="0" w:name="_heading=h.lnxbz9" w:id="6"/>
      <w:bookmarkEnd w:id="6"/>
      <w:r w:rsidDel="00000000" w:rsidR="00000000" w:rsidRPr="00000000">
        <w:rPr>
          <w:rFonts w:ascii="Arial" w:cs="Arial" w:eastAsia="Arial" w:hAnsi="Arial"/>
          <w:color w:val="000000"/>
          <w:sz w:val="24"/>
          <w:szCs w:val="24"/>
          <w:rtl w:val="0"/>
        </w:rPr>
        <w:t xml:space="preserve">   CCS reserves the right to use and publish the performance of the Supplier against the PIs without restriction.</w:t>
      </w:r>
    </w:p>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left" w:pos="1134"/>
        </w:tabs>
        <w:spacing w:after="120" w:before="120" w:line="240" w:lineRule="auto"/>
        <w:ind w:left="90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7">
      <w:pPr>
        <w:keepLines w:val="1"/>
        <w:numPr>
          <w:ilvl w:val="0"/>
          <w:numId w:val="1"/>
        </w:numPr>
        <w:pBdr>
          <w:top w:space="0" w:sz="0" w:val="nil"/>
          <w:left w:space="0" w:sz="0" w:val="nil"/>
          <w:bottom w:space="0" w:sz="0" w:val="nil"/>
          <w:right w:space="0" w:sz="0" w:val="nil"/>
          <w:between w:space="0" w:sz="0" w:val="nil"/>
        </w:pBdr>
        <w:tabs>
          <w:tab w:val="left" w:pos="142"/>
        </w:tabs>
        <w:spacing w:after="240" w:before="12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What the Supplier must do to measure their performance</w:t>
      </w:r>
    </w:p>
    <w:p w:rsidR="00000000" w:rsidDel="00000000" w:rsidP="00000000" w:rsidRDefault="00000000" w:rsidRPr="00000000" w14:paraId="00000098">
      <w:pPr>
        <w:keepNext w:val="1"/>
        <w:keepLines w:val="1"/>
        <w:numPr>
          <w:ilvl w:val="1"/>
          <w:numId w:val="1"/>
        </w:numPr>
        <w:pBdr>
          <w:top w:space="0" w:sz="0" w:val="nil"/>
          <w:left w:space="0" w:sz="0" w:val="nil"/>
          <w:bottom w:space="0" w:sz="0" w:val="nil"/>
          <w:right w:space="0" w:sz="0" w:val="nil"/>
          <w:between w:space="0" w:sz="0" w:val="nil"/>
        </w:pBdr>
        <w:tabs>
          <w:tab w:val="left" w:pos="1134"/>
        </w:tabs>
        <w:spacing w:after="120" w:before="120" w:line="240" w:lineRule="auto"/>
        <w:ind w:left="720" w:hanging="360"/>
        <w:rPr>
          <w:rFonts w:ascii="Arial" w:cs="Arial" w:eastAsia="Arial" w:hAnsi="Arial"/>
          <w:color w:val="000000"/>
          <w:sz w:val="24"/>
          <w:szCs w:val="24"/>
        </w:rPr>
      </w:pPr>
      <w:bookmarkStart w:colFirst="0" w:colLast="0" w:name="_heading=h.2et92p0" w:id="7"/>
      <w:bookmarkEnd w:id="7"/>
      <w:r w:rsidDel="00000000" w:rsidR="00000000" w:rsidRPr="00000000">
        <w:rPr>
          <w:rFonts w:ascii="Arial" w:cs="Arial" w:eastAsia="Arial" w:hAnsi="Arial"/>
          <w:color w:val="000000"/>
          <w:sz w:val="24"/>
          <w:szCs w:val="24"/>
          <w:rtl w:val="0"/>
        </w:rPr>
        <w:t xml:space="preserve">The Supplier shall cooperate in good faith with CCS to develop efficiency tracking performance measures for this Contract. This shall include the following (but this list is not exhaustive and may be developed during the Framework Contract Period): </w:t>
      </w:r>
    </w:p>
    <w:p w:rsidR="00000000" w:rsidDel="00000000" w:rsidP="00000000" w:rsidRDefault="00000000" w:rsidRPr="00000000" w14:paraId="00000099">
      <w:pPr>
        <w:numPr>
          <w:ilvl w:val="2"/>
          <w:numId w:val="1"/>
        </w:numPr>
        <w:pBdr>
          <w:top w:space="0" w:sz="0" w:val="nil"/>
          <w:left w:space="0" w:sz="0" w:val="nil"/>
          <w:bottom w:space="0" w:sz="0" w:val="nil"/>
          <w:right w:space="0" w:sz="0" w:val="nil"/>
          <w:between w:space="0" w:sz="0" w:val="nil"/>
        </w:pBdr>
        <w:tabs>
          <w:tab w:val="left" w:pos="1985"/>
        </w:tabs>
        <w:spacing w:after="120" w:before="120" w:line="24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tracking reductions in product volumes and product costs, in order to demonstrate that Buyers are consuming less and buying more smartly; </w:t>
      </w:r>
    </w:p>
    <w:p w:rsidR="00000000" w:rsidDel="00000000" w:rsidP="00000000" w:rsidRDefault="00000000" w:rsidRPr="00000000" w14:paraId="0000009A">
      <w:pPr>
        <w:numPr>
          <w:ilvl w:val="2"/>
          <w:numId w:val="1"/>
        </w:numPr>
        <w:pBdr>
          <w:top w:space="0" w:sz="0" w:val="nil"/>
          <w:left w:space="0" w:sz="0" w:val="nil"/>
          <w:bottom w:space="0" w:sz="0" w:val="nil"/>
          <w:right w:space="0" w:sz="0" w:val="nil"/>
          <w:between w:space="0" w:sz="0" w:val="nil"/>
        </w:pBdr>
        <w:tabs>
          <w:tab w:val="left" w:pos="1985"/>
        </w:tabs>
        <w:spacing w:after="120" w:before="120" w:line="24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developing additional PIs to ensure that this Contract supports the emerging target operating model across central government (particularly in line with centralised sourcing and category management, procurement delivery centres and payment processing systems and shared service centres).</w:t>
      </w:r>
    </w:p>
    <w:p w:rsidR="00000000" w:rsidDel="00000000" w:rsidP="00000000" w:rsidRDefault="00000000" w:rsidRPr="00000000" w14:paraId="0000009B">
      <w:pPr>
        <w:numPr>
          <w:ilvl w:val="1"/>
          <w:numId w:val="1"/>
        </w:numPr>
        <w:pBdr>
          <w:top w:space="0" w:sz="0" w:val="nil"/>
          <w:left w:space="0" w:sz="0" w:val="nil"/>
          <w:bottom w:space="0" w:sz="0" w:val="nil"/>
          <w:right w:space="0" w:sz="0" w:val="nil"/>
          <w:between w:space="0" w:sz="0" w:val="nil"/>
        </w:pBdr>
        <w:tabs>
          <w:tab w:val="left" w:pos="1134"/>
        </w:tabs>
        <w:spacing w:after="120" w:before="12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metrics that are to be implemented to measure efficiency shall be developed and agreed between CCS and the Supplier. Such metrics shall be incorporated into the list of PIs set out in this Schedule.</w:t>
      </w:r>
    </w:p>
    <w:p w:rsidR="00000000" w:rsidDel="00000000" w:rsidP="00000000" w:rsidRDefault="00000000" w:rsidRPr="00000000" w14:paraId="0000009C">
      <w:pPr>
        <w:numPr>
          <w:ilvl w:val="1"/>
          <w:numId w:val="1"/>
        </w:numPr>
        <w:pBdr>
          <w:top w:space="0" w:sz="0" w:val="nil"/>
          <w:left w:space="0" w:sz="0" w:val="nil"/>
          <w:bottom w:space="0" w:sz="0" w:val="nil"/>
          <w:right w:space="0" w:sz="0" w:val="nil"/>
          <w:between w:space="0" w:sz="0" w:val="nil"/>
        </w:pBdr>
        <w:tabs>
          <w:tab w:val="left" w:pos="1134"/>
        </w:tabs>
        <w:spacing w:after="120" w:before="12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ongoing progress and development of the efficiency tracking performance measures shall be reported through framework management activities as outlined in this Schedule.</w:t>
      </w:r>
    </w:p>
    <w:p w:rsidR="00000000" w:rsidDel="00000000" w:rsidP="00000000" w:rsidRDefault="00000000" w:rsidRPr="00000000" w14:paraId="0000009D">
      <w:pPr>
        <w:keepNext w:val="1"/>
        <w:numPr>
          <w:ilvl w:val="0"/>
          <w:numId w:val="1"/>
        </w:numPr>
        <w:pBdr>
          <w:top w:space="0" w:sz="0" w:val="nil"/>
          <w:left w:space="0" w:sz="0" w:val="nil"/>
          <w:bottom w:space="0" w:sz="0" w:val="nil"/>
          <w:right w:space="0" w:sz="0" w:val="nil"/>
          <w:between w:space="0" w:sz="0" w:val="nil"/>
        </w:pBdr>
        <w:tabs>
          <w:tab w:val="left" w:pos="142"/>
        </w:tabs>
        <w:spacing w:after="240" w:before="12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What to do if CCS and the Supplier can’t agree about the performance </w:t>
      </w:r>
    </w:p>
    <w:p w:rsidR="00000000" w:rsidDel="00000000" w:rsidP="00000000" w:rsidRDefault="00000000" w:rsidRPr="00000000" w14:paraId="0000009E">
      <w:pPr>
        <w:numPr>
          <w:ilvl w:val="1"/>
          <w:numId w:val="1"/>
        </w:numPr>
        <w:pBdr>
          <w:top w:space="0" w:sz="0" w:val="nil"/>
          <w:left w:space="0" w:sz="0" w:val="nil"/>
          <w:bottom w:space="0" w:sz="0" w:val="nil"/>
          <w:right w:space="0" w:sz="0" w:val="nil"/>
          <w:between w:space="0" w:sz="0" w:val="nil"/>
        </w:pBdr>
        <w:tabs>
          <w:tab w:val="left" w:pos="1134"/>
        </w:tabs>
        <w:spacing w:after="120" w:before="12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the event that CCS and the Supplier are unable to agree the performance score for any PI during a Supplier Review Meeting, the disputed score shall be recorded and the matter shall be referred to CCS Authorised Representative and the Supplier Authorised Representative in order to determine the best course of action to resolve the matter (which may involve organising an ad-hoc meeting to discuss the performance issue specifically).</w:t>
      </w:r>
    </w:p>
    <w:p w:rsidR="00000000" w:rsidDel="00000000" w:rsidP="00000000" w:rsidRDefault="00000000" w:rsidRPr="00000000" w14:paraId="0000009F">
      <w:pPr>
        <w:numPr>
          <w:ilvl w:val="1"/>
          <w:numId w:val="1"/>
        </w:numPr>
        <w:pBdr>
          <w:top w:space="0" w:sz="0" w:val="nil"/>
          <w:left w:space="0" w:sz="0" w:val="nil"/>
          <w:bottom w:space="0" w:sz="0" w:val="nil"/>
          <w:right w:space="0" w:sz="0" w:val="nil"/>
          <w:between w:space="0" w:sz="0" w:val="nil"/>
        </w:pBdr>
        <w:tabs>
          <w:tab w:val="left" w:pos="1134"/>
        </w:tabs>
        <w:spacing w:after="120" w:before="12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cases where CCS Authorised Representative and the Supplier Authorised Representative fail to reach a solution within a reasonable period of time, the matter shall be referred to the Dispute Resolution Procedure.</w:t>
      </w:r>
    </w:p>
    <w:p w:rsidR="00000000" w:rsidDel="00000000" w:rsidP="00000000" w:rsidRDefault="00000000" w:rsidRPr="00000000" w14:paraId="000000A0">
      <w:pPr>
        <w:keepNext w:val="1"/>
        <w:numPr>
          <w:ilvl w:val="0"/>
          <w:numId w:val="1"/>
        </w:numPr>
        <w:pBdr>
          <w:top w:space="0" w:sz="0" w:val="nil"/>
          <w:left w:space="0" w:sz="0" w:val="nil"/>
          <w:bottom w:space="0" w:sz="0" w:val="nil"/>
          <w:right w:space="0" w:sz="0" w:val="nil"/>
          <w:between w:space="0" w:sz="0" w:val="nil"/>
        </w:pBdr>
        <w:tabs>
          <w:tab w:val="left" w:pos="142"/>
        </w:tabs>
        <w:spacing w:after="240" w:before="120" w:line="240" w:lineRule="auto"/>
        <w:ind w:left="360" w:hanging="360"/>
        <w:rPr>
          <w:rFonts w:ascii="Arial" w:cs="Arial" w:eastAsia="Arial" w:hAnsi="Arial"/>
          <w:b w:val="1"/>
          <w:color w:val="000000"/>
          <w:sz w:val="24"/>
          <w:szCs w:val="24"/>
        </w:rPr>
      </w:pPr>
      <w:bookmarkStart w:colFirst="0" w:colLast="0" w:name="_heading=h.tyjcwt" w:id="8"/>
      <w:bookmarkEnd w:id="8"/>
      <w:r w:rsidDel="00000000" w:rsidR="00000000" w:rsidRPr="00000000">
        <w:rPr>
          <w:rFonts w:ascii="Arial" w:cs="Arial" w:eastAsia="Arial" w:hAnsi="Arial"/>
          <w:b w:val="1"/>
          <w:color w:val="000000"/>
          <w:sz w:val="24"/>
          <w:szCs w:val="24"/>
          <w:rtl w:val="0"/>
        </w:rPr>
        <w:t xml:space="preserve">Marketing</w:t>
      </w:r>
    </w:p>
    <w:p w:rsidR="00000000" w:rsidDel="00000000" w:rsidP="00000000" w:rsidRDefault="00000000" w:rsidRPr="00000000" w14:paraId="000000A1">
      <w:pPr>
        <w:numPr>
          <w:ilvl w:val="1"/>
          <w:numId w:val="1"/>
        </w:numPr>
        <w:pBdr>
          <w:top w:space="0" w:sz="0" w:val="nil"/>
          <w:left w:space="0" w:sz="0" w:val="nil"/>
          <w:bottom w:space="0" w:sz="0" w:val="nil"/>
          <w:right w:space="0" w:sz="0" w:val="nil"/>
          <w:between w:space="0" w:sz="0" w:val="nil"/>
        </w:pBdr>
        <w:tabs>
          <w:tab w:val="left" w:pos="1134"/>
        </w:tabs>
        <w:spacing w:after="120" w:before="12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ensure that a person is appointed as Supplier Marketing Contact who shall be responsible for the marketing obligations of the Supplier in relation to this Contract. </w:t>
      </w:r>
    </w:p>
    <w:p w:rsidR="00000000" w:rsidDel="00000000" w:rsidP="00000000" w:rsidRDefault="00000000" w:rsidRPr="00000000" w14:paraId="000000A2">
      <w:pPr>
        <w:keepNext w:val="1"/>
        <w:pBdr>
          <w:top w:space="0" w:sz="0" w:val="nil"/>
          <w:left w:space="0" w:sz="0" w:val="nil"/>
          <w:bottom w:space="0" w:sz="0" w:val="nil"/>
          <w:right w:space="0" w:sz="0" w:val="nil"/>
          <w:between w:space="0" w:sz="0" w:val="nil"/>
        </w:pBdr>
        <w:tabs>
          <w:tab w:val="left" w:pos="1134"/>
        </w:tabs>
        <w:spacing w:after="120" w:before="120" w:line="240" w:lineRule="auto"/>
        <w:ind w:left="360" w:hanging="576"/>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How the Supplier must contribute to CCS publications</w:t>
      </w:r>
    </w:p>
    <w:p w:rsidR="00000000" w:rsidDel="00000000" w:rsidP="00000000" w:rsidRDefault="00000000" w:rsidRPr="00000000" w14:paraId="000000A3">
      <w:pPr>
        <w:numPr>
          <w:ilvl w:val="1"/>
          <w:numId w:val="1"/>
        </w:numPr>
        <w:pBdr>
          <w:top w:space="0" w:sz="0" w:val="nil"/>
          <w:left w:space="0" w:sz="0" w:val="nil"/>
          <w:bottom w:space="0" w:sz="0" w:val="nil"/>
          <w:right w:space="0" w:sz="0" w:val="nil"/>
          <w:between w:space="0" w:sz="0" w:val="nil"/>
        </w:pBdr>
        <w:tabs>
          <w:tab w:val="left" w:pos="1134"/>
        </w:tabs>
        <w:spacing w:after="120" w:before="120" w:line="240" w:lineRule="auto"/>
        <w:ind w:left="720" w:hanging="360"/>
        <w:rPr>
          <w:rFonts w:ascii="Arial" w:cs="Arial" w:eastAsia="Arial" w:hAnsi="Arial"/>
          <w:color w:val="000000"/>
          <w:sz w:val="24"/>
          <w:szCs w:val="24"/>
        </w:rPr>
      </w:pPr>
      <w:bookmarkStart w:colFirst="0" w:colLast="0" w:name="_heading=h.3dy6vkm" w:id="9"/>
      <w:bookmarkEnd w:id="9"/>
      <w:r w:rsidDel="00000000" w:rsidR="00000000" w:rsidRPr="00000000">
        <w:rPr>
          <w:rFonts w:ascii="Arial" w:cs="Arial" w:eastAsia="Arial" w:hAnsi="Arial"/>
          <w:color w:val="000000"/>
          <w:sz w:val="24"/>
          <w:szCs w:val="24"/>
          <w:rtl w:val="0"/>
        </w:rPr>
        <w:t xml:space="preserve">The Supplier shall supply current information relating to the Goods and/or Services it offers for inclusion in CCS marketing materials when required by CCS from time to time.</w:t>
      </w:r>
    </w:p>
    <w:p w:rsidR="00000000" w:rsidDel="00000000" w:rsidP="00000000" w:rsidRDefault="00000000" w:rsidRPr="00000000" w14:paraId="000000A4">
      <w:pPr>
        <w:numPr>
          <w:ilvl w:val="1"/>
          <w:numId w:val="1"/>
        </w:numPr>
        <w:pBdr>
          <w:top w:space="0" w:sz="0" w:val="nil"/>
          <w:left w:space="0" w:sz="0" w:val="nil"/>
          <w:bottom w:space="0" w:sz="0" w:val="nil"/>
          <w:right w:space="0" w:sz="0" w:val="nil"/>
          <w:between w:space="0" w:sz="0" w:val="nil"/>
        </w:pBdr>
        <w:tabs>
          <w:tab w:val="left" w:pos="1134"/>
        </w:tabs>
        <w:spacing w:after="120" w:before="120" w:line="240" w:lineRule="auto"/>
        <w:ind w:left="720" w:hanging="360"/>
        <w:rPr>
          <w:rFonts w:ascii="Arial" w:cs="Arial" w:eastAsia="Arial" w:hAnsi="Arial"/>
          <w:color w:val="000000"/>
          <w:sz w:val="24"/>
          <w:szCs w:val="24"/>
        </w:rPr>
      </w:pPr>
      <w:bookmarkStart w:colFirst="0" w:colLast="0" w:name="_heading=h.1t3h5sf" w:id="10"/>
      <w:bookmarkEnd w:id="10"/>
      <w:r w:rsidDel="00000000" w:rsidR="00000000" w:rsidRPr="00000000">
        <w:rPr>
          <w:rFonts w:ascii="Arial" w:cs="Arial" w:eastAsia="Arial" w:hAnsi="Arial"/>
          <w:color w:val="000000"/>
          <w:sz w:val="24"/>
          <w:szCs w:val="24"/>
          <w:rtl w:val="0"/>
        </w:rPr>
        <w:t xml:space="preserve">Such information shall be provided in such form and at such time as CCS may request.</w:t>
      </w:r>
    </w:p>
    <w:p w:rsidR="00000000" w:rsidDel="00000000" w:rsidP="00000000" w:rsidRDefault="00000000" w:rsidRPr="00000000" w14:paraId="000000A5">
      <w:pPr>
        <w:numPr>
          <w:ilvl w:val="1"/>
          <w:numId w:val="1"/>
        </w:numPr>
        <w:pBdr>
          <w:top w:space="0" w:sz="0" w:val="nil"/>
          <w:left w:space="0" w:sz="0" w:val="nil"/>
          <w:bottom w:space="0" w:sz="0" w:val="nil"/>
          <w:right w:space="0" w:sz="0" w:val="nil"/>
          <w:between w:space="0" w:sz="0" w:val="nil"/>
        </w:pBdr>
        <w:tabs>
          <w:tab w:val="left" w:pos="1134"/>
        </w:tabs>
        <w:spacing w:after="120" w:before="12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Failure to comply with the provisions of Paragraphs 7.2 and 7.3 may result in the Supplier's exclusion from the use of such marketing materials.</w:t>
      </w:r>
    </w:p>
    <w:p w:rsidR="00000000" w:rsidDel="00000000" w:rsidP="00000000" w:rsidRDefault="00000000" w:rsidRPr="00000000" w14:paraId="000000A6">
      <w:pPr>
        <w:keepNext w:val="1"/>
        <w:pBdr>
          <w:top w:space="0" w:sz="0" w:val="nil"/>
          <w:left w:space="0" w:sz="0" w:val="nil"/>
          <w:bottom w:space="0" w:sz="0" w:val="nil"/>
          <w:right w:space="0" w:sz="0" w:val="nil"/>
          <w:between w:space="0" w:sz="0" w:val="nil"/>
        </w:pBdr>
        <w:tabs>
          <w:tab w:val="left" w:pos="1134"/>
        </w:tabs>
        <w:spacing w:after="120" w:before="120" w:line="240" w:lineRule="auto"/>
        <w:ind w:left="360" w:hanging="576"/>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What Suppliers can say in its own publications</w:t>
      </w:r>
    </w:p>
    <w:p w:rsidR="00000000" w:rsidDel="00000000" w:rsidP="00000000" w:rsidRDefault="00000000" w:rsidRPr="00000000" w14:paraId="000000A7">
      <w:pPr>
        <w:numPr>
          <w:ilvl w:val="1"/>
          <w:numId w:val="1"/>
        </w:numPr>
        <w:pBdr>
          <w:top w:space="0" w:sz="0" w:val="nil"/>
          <w:left w:space="0" w:sz="0" w:val="nil"/>
          <w:bottom w:space="0" w:sz="0" w:val="nil"/>
          <w:right w:space="0" w:sz="0" w:val="nil"/>
          <w:between w:space="0" w:sz="0" w:val="nil"/>
        </w:pBdr>
        <w:tabs>
          <w:tab w:val="left" w:pos="1134"/>
        </w:tabs>
        <w:spacing w:after="120" w:before="12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marketing materials produced by the Supplier in relation to this Framework shall at all times comply with the CCS branding guidance at</w:t>
        <w:tab/>
        <w:t xml:space="preserve"> </w:t>
      </w:r>
      <w:hyperlink r:id="rId7">
        <w:r w:rsidDel="00000000" w:rsidR="00000000" w:rsidRPr="00000000">
          <w:rPr>
            <w:rFonts w:ascii="Arial" w:cs="Arial" w:eastAsia="Arial" w:hAnsi="Arial"/>
            <w:color w:val="0000ff"/>
            <w:sz w:val="24"/>
            <w:szCs w:val="24"/>
            <w:u w:val="single"/>
            <w:rtl w:val="0"/>
          </w:rPr>
          <w:t xml:space="preserve">https://www.gov.uk/government/publications/crown-commercial-service-supplier-logo-and-brand-guidelines</w:t>
        </w:r>
      </w:hyperlink>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A8">
      <w:pPr>
        <w:numPr>
          <w:ilvl w:val="1"/>
          <w:numId w:val="1"/>
        </w:numPr>
        <w:pBdr>
          <w:top w:space="0" w:sz="0" w:val="nil"/>
          <w:left w:space="0" w:sz="0" w:val="nil"/>
          <w:bottom w:space="0" w:sz="0" w:val="nil"/>
          <w:right w:space="0" w:sz="0" w:val="nil"/>
          <w:between w:space="0" w:sz="0" w:val="nil"/>
        </w:pBdr>
        <w:tabs>
          <w:tab w:val="left" w:pos="1134"/>
        </w:tabs>
        <w:spacing w:after="120" w:before="12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will periodically update and revise its marketing materials to ensure ongoing compliance.</w:t>
      </w:r>
    </w:p>
    <w:p w:rsidR="00000000" w:rsidDel="00000000" w:rsidP="00000000" w:rsidRDefault="00000000" w:rsidRPr="00000000" w14:paraId="000000A9">
      <w:pPr>
        <w:numPr>
          <w:ilvl w:val="1"/>
          <w:numId w:val="1"/>
        </w:numPr>
        <w:pBdr>
          <w:top w:space="0" w:sz="0" w:val="nil"/>
          <w:left w:space="0" w:sz="0" w:val="nil"/>
          <w:bottom w:space="0" w:sz="0" w:val="nil"/>
          <w:right w:space="0" w:sz="0" w:val="nil"/>
          <w:between w:space="0" w:sz="0" w:val="nil"/>
        </w:pBdr>
        <w:tabs>
          <w:tab w:val="left" w:pos="1134"/>
        </w:tabs>
        <w:spacing w:after="120" w:before="12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regularly review the content of any information which appears on its website and which relates to each Contract and ensure that such information is up to date at all times.</w:t>
      </w:r>
    </w:p>
    <w:p w:rsidR="00000000" w:rsidDel="00000000" w:rsidP="00000000" w:rsidRDefault="00000000" w:rsidRPr="00000000" w14:paraId="000000AA">
      <w:pPr>
        <w:numPr>
          <w:ilvl w:val="1"/>
          <w:numId w:val="1"/>
        </w:numPr>
        <w:pBdr>
          <w:top w:space="0" w:sz="0" w:val="nil"/>
          <w:left w:space="0" w:sz="0" w:val="nil"/>
          <w:bottom w:space="0" w:sz="0" w:val="nil"/>
          <w:right w:space="0" w:sz="0" w:val="nil"/>
          <w:between w:space="0" w:sz="0" w:val="nil"/>
        </w:pBdr>
        <w:tabs>
          <w:tab w:val="left" w:pos="1134"/>
        </w:tabs>
        <w:spacing w:after="120" w:before="12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obtain all appropriate approvals prior to publishing any content in relation to a Contract with that Party using any media, including on any electronic medium, and the Supplier will ensure that such content is regularly maintained and updated.  In the event that the Supplier fails to maintain or update the content, CCS or the relevant Buyer may give the Supplier notice to rectify the failure and if the failure is not rectified to its reasonable satisfaction within one (1) Month of receipt of such notice, shall have the right to remove such content itself or require that the Supplier immediately arranges the removal of such content.</w:t>
      </w:r>
    </w:p>
    <w:p w:rsidR="00000000" w:rsidDel="00000000" w:rsidP="00000000" w:rsidRDefault="00000000" w:rsidRPr="00000000" w14:paraId="000000AB">
      <w:pPr>
        <w:keepNext w:val="1"/>
        <w:numPr>
          <w:ilvl w:val="0"/>
          <w:numId w:val="1"/>
        </w:numPr>
        <w:pBdr>
          <w:top w:space="0" w:sz="0" w:val="nil"/>
          <w:left w:space="0" w:sz="0" w:val="nil"/>
          <w:bottom w:space="0" w:sz="0" w:val="nil"/>
          <w:right w:space="0" w:sz="0" w:val="nil"/>
          <w:between w:space="0" w:sz="0" w:val="nil"/>
        </w:pBdr>
        <w:tabs>
          <w:tab w:val="left" w:pos="142"/>
        </w:tabs>
        <w:spacing w:after="240" w:before="12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Where CCS might oversee parts of the Call-Off Contracts</w:t>
      </w:r>
    </w:p>
    <w:p w:rsidR="00000000" w:rsidDel="00000000" w:rsidP="00000000" w:rsidRDefault="00000000" w:rsidRPr="00000000" w14:paraId="000000AC">
      <w:pPr>
        <w:keepNext w:val="1"/>
        <w:numPr>
          <w:ilvl w:val="1"/>
          <w:numId w:val="1"/>
        </w:numPr>
        <w:pBdr>
          <w:top w:space="0" w:sz="0" w:val="nil"/>
          <w:left w:space="0" w:sz="0" w:val="nil"/>
          <w:bottom w:space="0" w:sz="0" w:val="nil"/>
          <w:right w:space="0" w:sz="0" w:val="nil"/>
          <w:between w:space="0" w:sz="0" w:val="nil"/>
        </w:pBdr>
        <w:tabs>
          <w:tab w:val="left" w:pos="1134"/>
        </w:tabs>
        <w:spacing w:after="120" w:before="12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CCS shall have oversight of certain processes which are operated under Call-Off Contracts. Such oversight shall be provided in relation to the operation of the following Schedules </w:t>
      </w:r>
      <w:r w:rsidDel="00000000" w:rsidR="00000000" w:rsidRPr="00000000">
        <w:rPr>
          <w:rFonts w:ascii="Arial" w:cs="Arial" w:eastAsia="Arial" w:hAnsi="Arial"/>
          <w:sz w:val="24"/>
          <w:szCs w:val="24"/>
          <w:rtl w:val="0"/>
        </w:rPr>
        <w:t xml:space="preserve">(the </w:t>
      </w:r>
      <w:r w:rsidDel="00000000" w:rsidR="00000000" w:rsidRPr="00000000">
        <w:rPr>
          <w:rFonts w:ascii="Arial" w:cs="Arial" w:eastAsia="Arial" w:hAnsi="Arial"/>
          <w:b w:val="1"/>
          <w:sz w:val="24"/>
          <w:szCs w:val="24"/>
          <w:rtl w:val="0"/>
        </w:rPr>
        <w:t xml:space="preserve">"Supported Schedules"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in each Call-Off Contract:</w:t>
      </w:r>
    </w:p>
    <w:p w:rsidR="00000000" w:rsidDel="00000000" w:rsidP="00000000" w:rsidRDefault="00000000" w:rsidRPr="00000000" w14:paraId="000000AD">
      <w:pPr>
        <w:numPr>
          <w:ilvl w:val="2"/>
          <w:numId w:val="1"/>
        </w:numPr>
        <w:pBdr>
          <w:top w:space="0" w:sz="0" w:val="nil"/>
          <w:left w:space="0" w:sz="0" w:val="nil"/>
          <w:bottom w:space="0" w:sz="0" w:val="nil"/>
          <w:right w:space="0" w:sz="0" w:val="nil"/>
          <w:between w:space="0" w:sz="0" w:val="nil"/>
        </w:pBdr>
        <w:tabs>
          <w:tab w:val="left" w:pos="1985"/>
        </w:tabs>
        <w:spacing w:after="120" w:before="120" w:line="240" w:lineRule="auto"/>
        <w:ind w:left="2421"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3 (Continuous Improvement);</w:t>
      </w:r>
    </w:p>
    <w:p w:rsidR="00000000" w:rsidDel="00000000" w:rsidP="00000000" w:rsidRDefault="00000000" w:rsidRPr="00000000" w14:paraId="000000AE">
      <w:pPr>
        <w:numPr>
          <w:ilvl w:val="2"/>
          <w:numId w:val="1"/>
        </w:numPr>
        <w:pBdr>
          <w:top w:space="0" w:sz="0" w:val="nil"/>
          <w:left w:space="0" w:sz="0" w:val="nil"/>
          <w:bottom w:space="0" w:sz="0" w:val="nil"/>
          <w:right w:space="0" w:sz="0" w:val="nil"/>
          <w:between w:space="0" w:sz="0" w:val="nil"/>
        </w:pBdr>
        <w:tabs>
          <w:tab w:val="left" w:pos="1985"/>
        </w:tabs>
        <w:spacing w:after="120" w:before="120" w:line="240" w:lineRule="auto"/>
        <w:ind w:left="2421"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8 (Business Continuity and Disaster Recovery);</w:t>
      </w:r>
    </w:p>
    <w:p w:rsidR="00000000" w:rsidDel="00000000" w:rsidP="00000000" w:rsidRDefault="00000000" w:rsidRPr="00000000" w14:paraId="000000AF">
      <w:pPr>
        <w:numPr>
          <w:ilvl w:val="2"/>
          <w:numId w:val="1"/>
        </w:numPr>
        <w:pBdr>
          <w:top w:space="0" w:sz="0" w:val="nil"/>
          <w:left w:space="0" w:sz="0" w:val="nil"/>
          <w:bottom w:space="0" w:sz="0" w:val="nil"/>
          <w:right w:space="0" w:sz="0" w:val="nil"/>
          <w:between w:space="0" w:sz="0" w:val="nil"/>
        </w:pBdr>
        <w:tabs>
          <w:tab w:val="left" w:pos="1985"/>
        </w:tabs>
        <w:spacing w:after="120" w:before="120" w:line="24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9 (Security); and</w:t>
      </w:r>
    </w:p>
    <w:p w:rsidR="00000000" w:rsidDel="00000000" w:rsidP="00000000" w:rsidRDefault="00000000" w:rsidRPr="00000000" w14:paraId="000000B0">
      <w:pPr>
        <w:numPr>
          <w:ilvl w:val="2"/>
          <w:numId w:val="1"/>
        </w:numPr>
        <w:pBdr>
          <w:top w:space="0" w:sz="0" w:val="nil"/>
          <w:left w:space="0" w:sz="0" w:val="nil"/>
          <w:bottom w:space="0" w:sz="0" w:val="nil"/>
          <w:right w:space="0" w:sz="0" w:val="nil"/>
          <w:between w:space="0" w:sz="0" w:val="nil"/>
        </w:pBdr>
        <w:tabs>
          <w:tab w:val="left" w:pos="1985"/>
        </w:tabs>
        <w:spacing w:after="120" w:before="120" w:line="24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16 (Benchmarking).</w:t>
      </w:r>
    </w:p>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left" w:pos="1985"/>
        </w:tabs>
        <w:spacing w:after="120" w:before="120" w:line="240" w:lineRule="auto"/>
        <w:ind w:left="2160" w:hanging="45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B2">
      <w:pPr>
        <w:keepNext w:val="1"/>
        <w:pBdr>
          <w:top w:space="0" w:sz="0" w:val="nil"/>
          <w:left w:space="0" w:sz="0" w:val="nil"/>
          <w:bottom w:space="0" w:sz="0" w:val="nil"/>
          <w:right w:space="0" w:sz="0" w:val="nil"/>
          <w:between w:space="0" w:sz="0" w:val="nil"/>
        </w:pBdr>
        <w:tabs>
          <w:tab w:val="left" w:pos="1134"/>
        </w:tabs>
        <w:spacing w:after="120" w:before="120" w:line="240" w:lineRule="auto"/>
        <w:ind w:left="360" w:hanging="576"/>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How the Supplier must support CCS involvement</w:t>
      </w:r>
    </w:p>
    <w:p w:rsidR="00000000" w:rsidDel="00000000" w:rsidP="00000000" w:rsidRDefault="00000000" w:rsidRPr="00000000" w14:paraId="000000B3">
      <w:pPr>
        <w:keepNext w:val="1"/>
        <w:numPr>
          <w:ilvl w:val="1"/>
          <w:numId w:val="1"/>
        </w:numPr>
        <w:pBdr>
          <w:top w:space="0" w:sz="0" w:val="nil"/>
          <w:left w:space="0" w:sz="0" w:val="nil"/>
          <w:bottom w:space="0" w:sz="0" w:val="nil"/>
          <w:right w:space="0" w:sz="0" w:val="nil"/>
          <w:between w:space="0" w:sz="0" w:val="nil"/>
        </w:pBdr>
        <w:tabs>
          <w:tab w:val="left" w:pos="1134"/>
        </w:tabs>
        <w:spacing w:after="120" w:before="12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w:t>
      </w:r>
      <w:r w:rsidDel="00000000" w:rsidR="00000000" w:rsidRPr="00000000">
        <w:rPr>
          <w:rFonts w:ascii="Arial" w:cs="Arial" w:eastAsia="Arial" w:hAnsi="Arial"/>
          <w:sz w:val="24"/>
          <w:szCs w:val="24"/>
          <w:rtl w:val="0"/>
        </w:rPr>
        <w:t xml:space="preserve">cooperate</w:t>
      </w:r>
      <w:r w:rsidDel="00000000" w:rsidR="00000000" w:rsidRPr="00000000">
        <w:rPr>
          <w:rFonts w:ascii="Arial" w:cs="Arial" w:eastAsia="Arial" w:hAnsi="Arial"/>
          <w:color w:val="000000"/>
          <w:sz w:val="24"/>
          <w:szCs w:val="24"/>
          <w:rtl w:val="0"/>
        </w:rPr>
        <w:t xml:space="preserve"> as reasonably required by CCS in relation to the Supported Schedules including:</w:t>
      </w:r>
    </w:p>
    <w:p w:rsidR="00000000" w:rsidDel="00000000" w:rsidP="00000000" w:rsidRDefault="00000000" w:rsidRPr="00000000" w14:paraId="000000B4">
      <w:pPr>
        <w:numPr>
          <w:ilvl w:val="2"/>
          <w:numId w:val="1"/>
        </w:numPr>
        <w:pBdr>
          <w:top w:space="0" w:sz="0" w:val="nil"/>
          <w:left w:space="0" w:sz="0" w:val="nil"/>
          <w:bottom w:space="0" w:sz="0" w:val="nil"/>
          <w:right w:space="0" w:sz="0" w:val="nil"/>
          <w:between w:space="0" w:sz="0" w:val="nil"/>
        </w:pBdr>
        <w:tabs>
          <w:tab w:val="left" w:pos="1985"/>
        </w:tabs>
        <w:spacing w:after="120" w:before="120" w:line="24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provision of information;</w:t>
      </w:r>
    </w:p>
    <w:p w:rsidR="00000000" w:rsidDel="00000000" w:rsidP="00000000" w:rsidRDefault="00000000" w:rsidRPr="00000000" w14:paraId="000000B5">
      <w:pPr>
        <w:numPr>
          <w:ilvl w:val="2"/>
          <w:numId w:val="1"/>
        </w:numPr>
        <w:pBdr>
          <w:top w:space="0" w:sz="0" w:val="nil"/>
          <w:left w:space="0" w:sz="0" w:val="nil"/>
          <w:bottom w:space="0" w:sz="0" w:val="nil"/>
          <w:right w:space="0" w:sz="0" w:val="nil"/>
          <w:between w:space="0" w:sz="0" w:val="nil"/>
        </w:pBdr>
        <w:tabs>
          <w:tab w:val="left" w:pos="1985"/>
        </w:tabs>
        <w:spacing w:after="120" w:before="120" w:line="24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allowing CCS to act as agent for the Buyers under the Supported Schedules for such matters as CCS may notify to the Supplier from time to time; and</w:t>
      </w:r>
    </w:p>
    <w:p w:rsidR="00000000" w:rsidDel="00000000" w:rsidP="00000000" w:rsidRDefault="00000000" w:rsidRPr="00000000" w14:paraId="000000B6">
      <w:pPr>
        <w:numPr>
          <w:ilvl w:val="2"/>
          <w:numId w:val="1"/>
        </w:numPr>
        <w:pBdr>
          <w:top w:space="0" w:sz="0" w:val="nil"/>
          <w:left w:space="0" w:sz="0" w:val="nil"/>
          <w:bottom w:space="0" w:sz="0" w:val="nil"/>
          <w:right w:space="0" w:sz="0" w:val="nil"/>
          <w:between w:space="0" w:sz="0" w:val="nil"/>
        </w:pBdr>
        <w:tabs>
          <w:tab w:val="left" w:pos="1985"/>
        </w:tabs>
        <w:spacing w:after="120" w:before="120" w:line="24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such other matters as CCS may </w:t>
      </w:r>
      <w:r w:rsidDel="00000000" w:rsidR="00000000" w:rsidRPr="00000000">
        <w:rPr>
          <w:rFonts w:ascii="Arial" w:cs="Arial" w:eastAsia="Arial" w:hAnsi="Arial"/>
          <w:sz w:val="24"/>
          <w:szCs w:val="24"/>
          <w:rtl w:val="0"/>
        </w:rPr>
        <w:t xml:space="preserve">notify the</w:t>
      </w:r>
      <w:r w:rsidDel="00000000" w:rsidR="00000000" w:rsidRPr="00000000">
        <w:rPr>
          <w:rFonts w:ascii="Arial" w:cs="Arial" w:eastAsia="Arial" w:hAnsi="Arial"/>
          <w:color w:val="000000"/>
          <w:sz w:val="24"/>
          <w:szCs w:val="24"/>
          <w:rtl w:val="0"/>
        </w:rPr>
        <w:t xml:space="preserve"> Supplier from time to time.</w:t>
      </w:r>
    </w:p>
    <w:p w:rsidR="00000000" w:rsidDel="00000000" w:rsidP="00000000" w:rsidRDefault="00000000" w:rsidRPr="00000000" w14:paraId="000000B7">
      <w:pPr>
        <w:pBdr>
          <w:top w:space="0" w:sz="0" w:val="nil"/>
          <w:left w:space="0" w:sz="0" w:val="nil"/>
          <w:bottom w:space="0" w:sz="0" w:val="nil"/>
          <w:right w:space="0" w:sz="0" w:val="nil"/>
          <w:between w:space="0" w:sz="0" w:val="nil"/>
        </w:pBdr>
        <w:tabs>
          <w:tab w:val="left" w:pos="1134"/>
        </w:tabs>
        <w:spacing w:after="120" w:before="120" w:line="240" w:lineRule="auto"/>
        <w:ind w:left="360" w:hanging="576"/>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Where CCS might manage the process for Buyers collectively </w:t>
      </w:r>
    </w:p>
    <w:p w:rsidR="00000000" w:rsidDel="00000000" w:rsidP="00000000" w:rsidRDefault="00000000" w:rsidRPr="00000000" w14:paraId="000000B8">
      <w:pPr>
        <w:keepNext w:val="1"/>
        <w:numPr>
          <w:ilvl w:val="1"/>
          <w:numId w:val="1"/>
        </w:numPr>
        <w:pBdr>
          <w:top w:space="0" w:sz="0" w:val="nil"/>
          <w:left w:space="0" w:sz="0" w:val="nil"/>
          <w:bottom w:space="0" w:sz="0" w:val="nil"/>
          <w:right w:space="0" w:sz="0" w:val="nil"/>
          <w:between w:space="0" w:sz="0" w:val="nil"/>
        </w:pBdr>
        <w:tabs>
          <w:tab w:val="left" w:pos="1134"/>
        </w:tabs>
        <w:spacing w:after="120" w:before="12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addition to general oversight as referred to above, the following specific oversight shall apply to the individual Supported Schedules:</w:t>
      </w:r>
    </w:p>
    <w:p w:rsidR="00000000" w:rsidDel="00000000" w:rsidP="00000000" w:rsidRDefault="00000000" w:rsidRPr="00000000" w14:paraId="000000B9">
      <w:pPr>
        <w:keepNext w:val="1"/>
        <w:pBdr>
          <w:top w:space="0" w:sz="0" w:val="nil"/>
          <w:left w:space="0" w:sz="0" w:val="nil"/>
          <w:bottom w:space="0" w:sz="0" w:val="nil"/>
          <w:right w:space="0" w:sz="0" w:val="nil"/>
          <w:between w:space="0" w:sz="0" w:val="nil"/>
        </w:pBdr>
        <w:tabs>
          <w:tab w:val="left" w:pos="1134"/>
        </w:tabs>
        <w:spacing w:after="120" w:before="120" w:line="240" w:lineRule="auto"/>
        <w:ind w:left="720" w:hanging="36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BA">
      <w:pPr>
        <w:numPr>
          <w:ilvl w:val="2"/>
          <w:numId w:val="1"/>
        </w:numPr>
        <w:pBdr>
          <w:top w:space="0" w:sz="0" w:val="nil"/>
          <w:left w:space="0" w:sz="0" w:val="nil"/>
          <w:bottom w:space="0" w:sz="0" w:val="nil"/>
          <w:right w:space="0" w:sz="0" w:val="nil"/>
          <w:between w:space="0" w:sz="0" w:val="nil"/>
        </w:pBdr>
        <w:tabs>
          <w:tab w:val="left" w:pos="1985"/>
        </w:tabs>
        <w:spacing w:after="120" w:before="120" w:line="240" w:lineRule="auto"/>
        <w:ind w:left="2421"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3 (Continuous Improvement) - the Supplier shall:</w:t>
      </w:r>
    </w:p>
    <w:p w:rsidR="00000000" w:rsidDel="00000000" w:rsidP="00000000" w:rsidRDefault="00000000" w:rsidRPr="00000000" w14:paraId="000000BB">
      <w:pPr>
        <w:numPr>
          <w:ilvl w:val="3"/>
          <w:numId w:val="1"/>
        </w:numPr>
        <w:pBdr>
          <w:top w:space="0" w:sz="0" w:val="nil"/>
          <w:left w:space="0" w:sz="0" w:val="nil"/>
          <w:bottom w:space="0" w:sz="0" w:val="nil"/>
          <w:right w:space="0" w:sz="0" w:val="nil"/>
          <w:between w:space="0" w:sz="0" w:val="nil"/>
        </w:pBdr>
        <w:tabs>
          <w:tab w:val="left" w:pos="1985"/>
          <w:tab w:val="left" w:pos="1985"/>
          <w:tab w:val="left" w:pos="2552"/>
        </w:tabs>
        <w:spacing w:after="120" w:before="120" w:line="240" w:lineRule="auto"/>
        <w:ind w:left="2847"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adopt a policy of continuous improvement in relation to the Deliverables;</w:t>
      </w:r>
    </w:p>
    <w:p w:rsidR="00000000" w:rsidDel="00000000" w:rsidP="00000000" w:rsidRDefault="00000000" w:rsidRPr="00000000" w14:paraId="000000BC">
      <w:pPr>
        <w:numPr>
          <w:ilvl w:val="3"/>
          <w:numId w:val="1"/>
        </w:numPr>
        <w:pBdr>
          <w:top w:space="0" w:sz="0" w:val="nil"/>
          <w:left w:space="0" w:sz="0" w:val="nil"/>
          <w:bottom w:space="0" w:sz="0" w:val="nil"/>
          <w:right w:space="0" w:sz="0" w:val="nil"/>
          <w:between w:space="0" w:sz="0" w:val="nil"/>
        </w:pBdr>
        <w:tabs>
          <w:tab w:val="left" w:pos="1985"/>
          <w:tab w:val="left" w:pos="1985"/>
          <w:tab w:val="left" w:pos="2552"/>
        </w:tabs>
        <w:spacing w:after="120" w:before="120" w:line="240" w:lineRule="auto"/>
        <w:ind w:left="2847"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create, maintain and update a continuous improvement plan for improving the provision of the Deliverables and/or reducing the Charges and, where requested by CCS, incorporate any improvement identified in accordance with the Variation Procedure.</w:t>
      </w:r>
    </w:p>
    <w:p w:rsidR="00000000" w:rsidDel="00000000" w:rsidP="00000000" w:rsidRDefault="00000000" w:rsidRPr="00000000" w14:paraId="000000BD">
      <w:pPr>
        <w:numPr>
          <w:ilvl w:val="2"/>
          <w:numId w:val="1"/>
        </w:numPr>
        <w:pBdr>
          <w:top w:space="0" w:sz="0" w:val="nil"/>
          <w:left w:space="0" w:sz="0" w:val="nil"/>
          <w:bottom w:space="0" w:sz="0" w:val="nil"/>
          <w:right w:space="0" w:sz="0" w:val="nil"/>
          <w:between w:space="0" w:sz="0" w:val="nil"/>
        </w:pBdr>
        <w:tabs>
          <w:tab w:val="left" w:pos="1985"/>
        </w:tabs>
        <w:spacing w:after="120" w:before="120" w:line="240" w:lineRule="auto"/>
        <w:ind w:left="2421"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8 (Business Continuity and Disaster Recovery) - the Supplier shall:</w:t>
      </w:r>
    </w:p>
    <w:p w:rsidR="00000000" w:rsidDel="00000000" w:rsidP="00000000" w:rsidRDefault="00000000" w:rsidRPr="00000000" w14:paraId="000000BE">
      <w:pPr>
        <w:numPr>
          <w:ilvl w:val="3"/>
          <w:numId w:val="1"/>
        </w:numPr>
        <w:pBdr>
          <w:top w:space="0" w:sz="0" w:val="nil"/>
          <w:left w:space="0" w:sz="0" w:val="nil"/>
          <w:bottom w:space="0" w:sz="0" w:val="nil"/>
          <w:right w:space="0" w:sz="0" w:val="nil"/>
          <w:between w:space="0" w:sz="0" w:val="nil"/>
        </w:pBdr>
        <w:tabs>
          <w:tab w:val="left" w:pos="1985"/>
          <w:tab w:val="left" w:pos="1985"/>
          <w:tab w:val="left" w:pos="2552"/>
        </w:tabs>
        <w:spacing w:after="120" w:before="120" w:line="240" w:lineRule="auto"/>
        <w:ind w:left="2847"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create and hold a template BCDR plan that can be used by each Buyer and shall make it available to CCS so that it can be published to potential Buyers; and</w:t>
      </w:r>
    </w:p>
    <w:p w:rsidR="00000000" w:rsidDel="00000000" w:rsidP="00000000" w:rsidRDefault="00000000" w:rsidRPr="00000000" w14:paraId="000000BF">
      <w:pPr>
        <w:numPr>
          <w:ilvl w:val="3"/>
          <w:numId w:val="1"/>
        </w:numPr>
        <w:pBdr>
          <w:top w:space="0" w:sz="0" w:val="nil"/>
          <w:left w:space="0" w:sz="0" w:val="nil"/>
          <w:bottom w:space="0" w:sz="0" w:val="nil"/>
          <w:right w:space="0" w:sz="0" w:val="nil"/>
          <w:between w:space="0" w:sz="0" w:val="nil"/>
        </w:pBdr>
        <w:tabs>
          <w:tab w:val="left" w:pos="1985"/>
          <w:tab w:val="left" w:pos="1985"/>
          <w:tab w:val="left" w:pos="2552"/>
        </w:tabs>
        <w:spacing w:after="120" w:before="120" w:line="240" w:lineRule="auto"/>
        <w:ind w:left="2847"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notify CCS in the event of the invocation or potential invocation of any BCDR plan and the Supplier shall provide such support as CCS may reasonably require to coordinate the application of BCDR plans across all Call Off Contracts.</w:t>
      </w:r>
    </w:p>
    <w:p w:rsidR="00000000" w:rsidDel="00000000" w:rsidP="00000000" w:rsidRDefault="00000000" w:rsidRPr="00000000" w14:paraId="000000C0">
      <w:pPr>
        <w:numPr>
          <w:ilvl w:val="2"/>
          <w:numId w:val="1"/>
        </w:numPr>
        <w:pBdr>
          <w:top w:space="0" w:sz="0" w:val="nil"/>
          <w:left w:space="0" w:sz="0" w:val="nil"/>
          <w:bottom w:space="0" w:sz="0" w:val="nil"/>
          <w:right w:space="0" w:sz="0" w:val="nil"/>
          <w:between w:space="0" w:sz="0" w:val="nil"/>
        </w:pBdr>
        <w:tabs>
          <w:tab w:val="left" w:pos="1985"/>
        </w:tabs>
        <w:spacing w:after="120" w:before="120" w:line="24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9 (Security) - the Supplier shall:</w:t>
      </w:r>
    </w:p>
    <w:p w:rsidR="00000000" w:rsidDel="00000000" w:rsidP="00000000" w:rsidRDefault="00000000" w:rsidRPr="00000000" w14:paraId="000000C1">
      <w:pPr>
        <w:numPr>
          <w:ilvl w:val="3"/>
          <w:numId w:val="1"/>
        </w:numPr>
        <w:pBdr>
          <w:top w:space="0" w:sz="0" w:val="nil"/>
          <w:left w:space="0" w:sz="0" w:val="nil"/>
          <w:bottom w:space="0" w:sz="0" w:val="nil"/>
          <w:right w:space="0" w:sz="0" w:val="nil"/>
          <w:between w:space="0" w:sz="0" w:val="nil"/>
        </w:pBdr>
        <w:tabs>
          <w:tab w:val="left" w:pos="1985"/>
          <w:tab w:val="left" w:pos="1985"/>
          <w:tab w:val="left" w:pos="2552"/>
        </w:tabs>
        <w:spacing w:after="120" w:before="120" w:line="240" w:lineRule="auto"/>
        <w:ind w:left="2552" w:hanging="425"/>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create and hold a template Security Plan that can be used by each Buyer and shall make it available to CCS so that it can be published to potential Buyers; and</w:t>
      </w:r>
    </w:p>
    <w:p w:rsidR="00000000" w:rsidDel="00000000" w:rsidP="00000000" w:rsidRDefault="00000000" w:rsidRPr="00000000" w14:paraId="000000C2">
      <w:pPr>
        <w:numPr>
          <w:ilvl w:val="3"/>
          <w:numId w:val="1"/>
        </w:numPr>
        <w:pBdr>
          <w:top w:space="0" w:sz="0" w:val="nil"/>
          <w:left w:space="0" w:sz="0" w:val="nil"/>
          <w:bottom w:space="0" w:sz="0" w:val="nil"/>
          <w:right w:space="0" w:sz="0" w:val="nil"/>
          <w:between w:space="0" w:sz="0" w:val="nil"/>
        </w:pBdr>
        <w:tabs>
          <w:tab w:val="left" w:pos="1985"/>
          <w:tab w:val="left" w:pos="1985"/>
          <w:tab w:val="left" w:pos="2552"/>
        </w:tabs>
        <w:spacing w:after="120" w:before="120" w:line="24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notify CCS in the event of breach of any Security Plan and the Supplier shall provide such support as CCS may reasonably require to coordinate the application of Security Plans across all Call Off Contracts.</w:t>
      </w:r>
    </w:p>
    <w:p w:rsidR="00000000" w:rsidDel="00000000" w:rsidP="00000000" w:rsidRDefault="00000000" w:rsidRPr="00000000" w14:paraId="000000C3">
      <w:pPr>
        <w:numPr>
          <w:ilvl w:val="2"/>
          <w:numId w:val="1"/>
        </w:numPr>
        <w:pBdr>
          <w:top w:space="0" w:sz="0" w:val="nil"/>
          <w:left w:space="0" w:sz="0" w:val="nil"/>
          <w:bottom w:space="0" w:sz="0" w:val="nil"/>
          <w:right w:space="0" w:sz="0" w:val="nil"/>
          <w:between w:space="0" w:sz="0" w:val="nil"/>
        </w:pBdr>
        <w:tabs>
          <w:tab w:val="left" w:pos="1985"/>
        </w:tabs>
        <w:spacing w:after="120" w:before="120" w:line="24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16 (Benchmarking) - the Supplier:</w:t>
      </w:r>
    </w:p>
    <w:p w:rsidR="00000000" w:rsidDel="00000000" w:rsidP="00000000" w:rsidRDefault="00000000" w:rsidRPr="00000000" w14:paraId="000000C4">
      <w:pPr>
        <w:numPr>
          <w:ilvl w:val="3"/>
          <w:numId w:val="1"/>
        </w:numPr>
        <w:pBdr>
          <w:top w:space="0" w:sz="0" w:val="nil"/>
          <w:left w:space="0" w:sz="0" w:val="nil"/>
          <w:bottom w:space="0" w:sz="0" w:val="nil"/>
          <w:right w:space="0" w:sz="0" w:val="nil"/>
          <w:between w:space="0" w:sz="0" w:val="nil"/>
        </w:pBdr>
        <w:tabs>
          <w:tab w:val="left" w:pos="1985"/>
        </w:tabs>
        <w:spacing w:after="120" w:before="120" w:line="240" w:lineRule="auto"/>
        <w:ind w:left="1985" w:firstLine="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shall notify CCS in the event that any benchmarker is appoint in respect of any Call Off Contract and the Supplier recognises that CCS may want to co-ordinate how benchmarking is conducted across multiple Call Off Contracts</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C5">
      <w:pPr>
        <w:numPr>
          <w:ilvl w:val="3"/>
          <w:numId w:val="1"/>
        </w:numPr>
        <w:pBdr>
          <w:top w:space="0" w:sz="0" w:val="nil"/>
          <w:left w:space="0" w:sz="0" w:val="nil"/>
          <w:bottom w:space="0" w:sz="0" w:val="nil"/>
          <w:right w:space="0" w:sz="0" w:val="nil"/>
          <w:between w:space="0" w:sz="0" w:val="nil"/>
        </w:pBdr>
        <w:tabs>
          <w:tab w:val="left" w:pos="1985"/>
          <w:tab w:val="left" w:pos="1985"/>
          <w:tab w:val="left" w:pos="2552"/>
        </w:tabs>
        <w:spacing w:after="120" w:before="120" w:line="24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shall where CCS is appointed as agent by Buyers in respect of benchmarking, co-operate with CCS in order to operate the benchmarking as efficiently as possible;</w:t>
      </w:r>
    </w:p>
    <w:p w:rsidR="00000000" w:rsidDel="00000000" w:rsidP="00000000" w:rsidRDefault="00000000" w:rsidRPr="00000000" w14:paraId="000000C6">
      <w:pPr>
        <w:numPr>
          <w:ilvl w:val="3"/>
          <w:numId w:val="1"/>
        </w:numPr>
        <w:pBdr>
          <w:top w:space="0" w:sz="0" w:val="nil"/>
          <w:left w:space="0" w:sz="0" w:val="nil"/>
          <w:bottom w:space="0" w:sz="0" w:val="nil"/>
          <w:right w:space="0" w:sz="0" w:val="nil"/>
          <w:between w:space="0" w:sz="0" w:val="nil"/>
        </w:pBdr>
        <w:tabs>
          <w:tab w:val="left" w:pos="1985"/>
          <w:tab w:val="left" w:pos="1985"/>
          <w:tab w:val="left" w:pos="2552"/>
        </w:tabs>
        <w:spacing w:after="120" w:before="120" w:line="240" w:lineRule="auto"/>
        <w:ind w:left="2552" w:hanging="566"/>
        <w:rPr>
          <w:rFonts w:ascii="Arial" w:cs="Arial" w:eastAsia="Arial" w:hAnsi="Arial"/>
          <w:color w:val="000000"/>
          <w:sz w:val="24"/>
          <w:szCs w:val="24"/>
        </w:rPr>
      </w:pPr>
      <w:bookmarkStart w:colFirst="0" w:colLast="0" w:name="_heading=h.4d34og8" w:id="11"/>
      <w:bookmarkEnd w:id="11"/>
      <w:r w:rsidDel="00000000" w:rsidR="00000000" w:rsidRPr="00000000">
        <w:rPr>
          <w:rFonts w:ascii="Arial" w:cs="Arial" w:eastAsia="Arial" w:hAnsi="Arial"/>
          <w:color w:val="000000"/>
          <w:sz w:val="24"/>
          <w:szCs w:val="24"/>
          <w:rtl w:val="0"/>
        </w:rPr>
        <w:t xml:space="preserve">agrees that notwithstanding the remainder of Clause 15 (What you must keep confidential) in the Core Terms, CCS shall be entitled to publish the results of any benchmarking of the Framework Prices to Other Contracting Authorities (subject to the other party entering into reasonable confidentiality undertakings).</w:t>
      </w:r>
    </w:p>
    <w:p w:rsidR="00000000" w:rsidDel="00000000" w:rsidP="00000000" w:rsidRDefault="00000000" w:rsidRPr="00000000" w14:paraId="000000C7">
      <w:pPr>
        <w:numPr>
          <w:ilvl w:val="0"/>
          <w:numId w:val="1"/>
        </w:numPr>
        <w:pBdr>
          <w:top w:space="0" w:sz="0" w:val="nil"/>
          <w:left w:space="0" w:sz="0" w:val="nil"/>
          <w:bottom w:space="0" w:sz="0" w:val="nil"/>
          <w:right w:space="0" w:sz="0" w:val="nil"/>
          <w:between w:space="0" w:sz="0" w:val="nil"/>
        </w:pBdr>
        <w:tabs>
          <w:tab w:val="left" w:pos="142"/>
        </w:tabs>
        <w:spacing w:after="240" w:before="120" w:line="240" w:lineRule="auto"/>
        <w:ind w:left="360" w:hanging="360"/>
        <w:jc w:val="both"/>
        <w:rPr>
          <w:rFonts w:ascii="Arial" w:cs="Arial" w:eastAsia="Arial" w:hAnsi="Arial"/>
          <w:b w:val="1"/>
          <w:smallCaps w:val="1"/>
          <w:color w:val="000000"/>
          <w:sz w:val="24"/>
          <w:szCs w:val="24"/>
          <w:highlight w:val="white"/>
        </w:rPr>
      </w:pPr>
      <w:r w:rsidDel="00000000" w:rsidR="00000000" w:rsidRPr="00000000">
        <w:rPr>
          <w:rFonts w:ascii="Arial" w:cs="Arial" w:eastAsia="Arial" w:hAnsi="Arial"/>
          <w:b w:val="1"/>
          <w:color w:val="000000"/>
          <w:sz w:val="24"/>
          <w:szCs w:val="24"/>
          <w:highlight w:val="white"/>
          <w:rtl w:val="0"/>
        </w:rPr>
        <w:t xml:space="preserve">Review Of Geographical Boundary </w:t>
      </w:r>
      <w:r w:rsidDel="00000000" w:rsidR="00000000" w:rsidRPr="00000000">
        <w:rPr>
          <w:rtl w:val="0"/>
        </w:rPr>
      </w:r>
    </w:p>
    <w:p w:rsidR="00000000" w:rsidDel="00000000" w:rsidP="00000000" w:rsidRDefault="00000000" w:rsidRPr="00000000" w14:paraId="000000C8">
      <w:pPr>
        <w:numPr>
          <w:ilvl w:val="1"/>
          <w:numId w:val="1"/>
        </w:numPr>
        <w:pBdr>
          <w:top w:space="0" w:sz="0" w:val="nil"/>
          <w:left w:space="0" w:sz="0" w:val="nil"/>
          <w:bottom w:space="0" w:sz="0" w:val="nil"/>
          <w:right w:space="0" w:sz="0" w:val="nil"/>
          <w:between w:space="0" w:sz="0" w:val="nil"/>
        </w:pBdr>
        <w:tabs>
          <w:tab w:val="left" w:pos="1134"/>
        </w:tabs>
        <w:spacing w:after="120" w:before="120" w:line="240" w:lineRule="auto"/>
        <w:ind w:left="720" w:hanging="360"/>
        <w:jc w:val="both"/>
        <w:rPr>
          <w:highlight w:val="white"/>
        </w:rPr>
      </w:pPr>
      <w:bookmarkStart w:colFirst="0" w:colLast="0" w:name="_heading=h.26in1rg" w:id="12"/>
      <w:bookmarkEnd w:id="12"/>
      <w:r w:rsidDel="00000000" w:rsidR="00000000" w:rsidRPr="00000000">
        <w:rPr>
          <w:rFonts w:ascii="Arial" w:cs="Arial" w:eastAsia="Arial" w:hAnsi="Arial"/>
          <w:color w:val="000000"/>
          <w:sz w:val="24"/>
          <w:szCs w:val="24"/>
          <w:highlight w:val="white"/>
          <w:rtl w:val="0"/>
        </w:rPr>
        <w:t xml:space="preserve">During the Framework Contract Period Suppliers may request to add/remove Geographical Boundaries in respect of service delivery. Such requests should be made to the CCS Authorised Representative on a quarterly basis and will be actioned in accordance with the Variation Procedure.</w:t>
      </w:r>
      <w:r w:rsidDel="00000000" w:rsidR="00000000" w:rsidRPr="00000000">
        <w:rPr>
          <w:rtl w:val="0"/>
        </w:rPr>
      </w:r>
    </w:p>
    <w:p w:rsidR="00000000" w:rsidDel="00000000" w:rsidP="00000000" w:rsidRDefault="00000000" w:rsidRPr="00000000" w14:paraId="000000C9">
      <w:pPr>
        <w:numPr>
          <w:ilvl w:val="1"/>
          <w:numId w:val="1"/>
        </w:numPr>
        <w:pBdr>
          <w:top w:space="0" w:sz="0" w:val="nil"/>
          <w:left w:space="0" w:sz="0" w:val="nil"/>
          <w:bottom w:space="0" w:sz="0" w:val="nil"/>
          <w:right w:space="0" w:sz="0" w:val="nil"/>
          <w:between w:space="0" w:sz="0" w:val="nil"/>
        </w:pBdr>
        <w:tabs>
          <w:tab w:val="left" w:pos="1134"/>
        </w:tabs>
        <w:spacing w:after="120" w:before="120" w:line="240" w:lineRule="auto"/>
        <w:ind w:left="720" w:hanging="360"/>
        <w:jc w:val="both"/>
        <w:rPr>
          <w:rFonts w:ascii="Arial" w:cs="Arial" w:eastAsia="Arial" w:hAnsi="Arial"/>
          <w:sz w:val="24"/>
          <w:szCs w:val="24"/>
          <w:highlight w:val="white"/>
        </w:rPr>
      </w:pPr>
      <w:bookmarkStart w:colFirst="0" w:colLast="0" w:name="_heading=h.2s8eyo1" w:id="13"/>
      <w:bookmarkEnd w:id="13"/>
      <w:r w:rsidDel="00000000" w:rsidR="00000000" w:rsidRPr="00000000">
        <w:rPr>
          <w:rFonts w:ascii="Arial" w:cs="Arial" w:eastAsia="Arial" w:hAnsi="Arial"/>
          <w:sz w:val="24"/>
          <w:szCs w:val="24"/>
          <w:highlight w:val="white"/>
          <w:rtl w:val="0"/>
        </w:rPr>
        <w:t xml:space="preserve">Irrespective of any changes made outside of this the Agreement, the nomenclature of territorial units for statistics (NUTS) codes shall remain the same as those used to procure this Agreement for the purposes of the processes defined in Framework Schedule 7 - Call Off Procedure and for the purposes stated above in 2.1.</w:t>
      </w:r>
    </w:p>
    <w:p w:rsidR="00000000" w:rsidDel="00000000" w:rsidP="00000000" w:rsidRDefault="00000000" w:rsidRPr="00000000" w14:paraId="000000CA">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tabs>
          <w:tab w:val="left" w:pos="142"/>
        </w:tabs>
        <w:spacing w:after="240" w:before="120" w:line="240" w:lineRule="auto"/>
        <w:ind w:left="426" w:hanging="426"/>
        <w:jc w:val="both"/>
        <w:rPr>
          <w:rFonts w:ascii="Arial" w:cs="Arial" w:eastAsia="Arial" w:hAnsi="Arial"/>
          <w:b w:val="1"/>
          <w:smallCaps w:val="1"/>
          <w:color w:val="000000"/>
        </w:rPr>
      </w:pP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w:t>
      <w:tab/>
      <w:t xml:space="preserve">                                           </w:t>
    </w:r>
  </w:p>
  <w:p w:rsidR="00000000" w:rsidDel="00000000" w:rsidP="00000000" w:rsidRDefault="00000000" w:rsidRPr="00000000" w14:paraId="000000D1">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center" w:pos="4513"/>
        <w:tab w:val="right" w:pos="9026"/>
      </w:tabs>
      <w:spacing w:after="0" w:line="240" w:lineRule="auto"/>
      <w:rPr>
        <w:color w:val="bfbfbf"/>
      </w:rPr>
    </w:pPr>
    <w:r w:rsidDel="00000000" w:rsidR="00000000" w:rsidRPr="00000000">
      <w:rPr>
        <w:rFonts w:ascii="Arial" w:cs="Arial" w:eastAsia="Arial" w:hAnsi="Arial"/>
        <w:color w:val="000000"/>
        <w:sz w:val="20"/>
        <w:szCs w:val="20"/>
        <w:rtl w:val="0"/>
      </w:rPr>
      <w:t xml:space="preserve">Model Version: v3.0</w:t>
      <w:tab/>
    </w:r>
    <w:r w:rsidDel="00000000" w:rsidR="00000000" w:rsidRPr="00000000">
      <w:rPr>
        <w:rFonts w:ascii="Arial" w:cs="Arial" w:eastAsia="Arial" w:hAnsi="Arial"/>
        <w:color w:val="bfbfbf"/>
        <w:sz w:val="20"/>
        <w:szCs w:val="20"/>
        <w:rtl w:val="0"/>
      </w:rPr>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RM6257</w:t>
      <w:tab/>
      <w:t xml:space="preserve">                                           </w:t>
    </w:r>
  </w:p>
  <w:p w:rsidR="00000000" w:rsidDel="00000000" w:rsidP="00000000" w:rsidRDefault="00000000" w:rsidRPr="00000000" w14:paraId="000000D4">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5">
    <w:pPr>
      <w:spacing w:after="0" w:line="240" w:lineRule="auto"/>
      <w:jc w:val="both"/>
      <w:rPr/>
    </w:pPr>
    <w:r w:rsidDel="00000000" w:rsidR="00000000" w:rsidRPr="00000000">
      <w:rPr>
        <w:rFonts w:ascii="Arial" w:cs="Arial" w:eastAsia="Arial" w:hAnsi="Arial"/>
        <w:sz w:val="20"/>
        <w:szCs w:val="20"/>
        <w:rtl w:val="0"/>
      </w:rPr>
      <w:t xml:space="preserve">Model Version: v3.4</w:t>
      <w:tab/>
      <w:tab/>
    </w:r>
    <w:r w:rsidDel="00000000" w:rsidR="00000000" w:rsidRPr="00000000">
      <w:rPr>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Framework Schedule 4 (Framework Management)</w:t>
    </w: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bfbfbf"/>
        <w:sz w:val="20"/>
        <w:szCs w:val="20"/>
      </w:rPr>
    </w:pPr>
    <w:r w:rsidDel="00000000" w:rsidR="00000000" w:rsidRPr="00000000">
      <w:rPr>
        <w:rFonts w:ascii="Arial" w:cs="Arial" w:eastAsia="Arial" w:hAnsi="Arial"/>
        <w:color w:val="000000"/>
        <w:sz w:val="20"/>
        <w:szCs w:val="20"/>
        <w:rtl w:val="0"/>
      </w:rPr>
      <w:t xml:space="preserve">Crown Copyright 2018</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Framework Schedule 4 (Framework Management)</w:t>
    </w: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Crown Copyright 2018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720" w:hanging="36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tabs>
        <w:tab w:val="left" w:pos="-5585"/>
      </w:tabs>
      <w:spacing w:after="120" w:line="240" w:lineRule="auto"/>
      <w:ind w:left="2665" w:hanging="964"/>
      <w:jc w:val="both"/>
    </w:pPr>
    <w:rPr>
      <w:rFonts w:ascii="Arial" w:cs="Arial" w:eastAsia="Arial" w:hAnsi="Arial"/>
    </w:rPr>
  </w:style>
  <w:style w:type="paragraph" w:styleId="Heading6">
    <w:name w:val="heading 6"/>
    <w:basedOn w:val="Normal"/>
    <w:next w:val="Normal"/>
    <w:pPr>
      <w:tabs>
        <w:tab w:val="left" w:pos="-8987"/>
        <w:tab w:val="left" w:pos="-8420"/>
      </w:tabs>
      <w:spacing w:after="120" w:line="240" w:lineRule="auto"/>
      <w:ind w:left="3799" w:hanging="1133.9999999999998"/>
      <w:jc w:val="both"/>
    </w:pPr>
    <w:rPr>
      <w:rFonts w:ascii="Arial" w:cs="Arial" w:eastAsia="Arial" w:hAnsi="Arial"/>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semiHidden w:val="1"/>
    <w:unhideWhenUsed w:val="1"/>
    <w:qFormat w:val="1"/>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uiPriority w:val="9"/>
    <w:semiHidden w:val="1"/>
    <w:unhideWhenUsed w:val="1"/>
    <w:qFormat w:val="1"/>
    <w:rsid w:val="00EE2956"/>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rsid w:val="00EE2956"/>
    <w:pPr>
      <w:keepNext w:val="1"/>
      <w:keepLines w:val="1"/>
      <w:spacing w:after="40" w:before="240"/>
      <w:outlineLvl w:val="3"/>
    </w:pPr>
    <w:rPr>
      <w:b w:val="1"/>
      <w:sz w:val="24"/>
      <w:szCs w:val="24"/>
    </w:rPr>
  </w:style>
  <w:style w:type="paragraph" w:styleId="Heading5">
    <w:name w:val="heading 5"/>
    <w:basedOn w:val="Normal"/>
    <w:link w:val="Heading5Char"/>
    <w:uiPriority w:val="9"/>
    <w:semiHidden w:val="1"/>
    <w:unhideWhenUsed w:val="1"/>
    <w:qFormat w:val="1"/>
    <w:pPr>
      <w:tabs>
        <w:tab w:val="left" w:pos="-5585"/>
      </w:tabs>
      <w:overflowPunct w:val="0"/>
      <w:autoSpaceDE w:val="0"/>
      <w:autoSpaceDN w:val="0"/>
      <w:spacing w:after="120" w:line="240" w:lineRule="auto"/>
      <w:ind w:left="2665" w:hanging="964"/>
      <w:jc w:val="both"/>
      <w:textAlignment w:val="baseline"/>
      <w:outlineLvl w:val="4"/>
    </w:pPr>
    <w:rPr>
      <w:rFonts w:ascii="Arial" w:cs="Times New Roman" w:eastAsia="Times New Roman" w:hAnsi="Arial"/>
    </w:rPr>
  </w:style>
  <w:style w:type="paragraph" w:styleId="Heading6">
    <w:name w:val="heading 6"/>
    <w:basedOn w:val="Heading5"/>
    <w:link w:val="Heading6Char"/>
    <w:uiPriority w:val="9"/>
    <w:semiHidden w:val="1"/>
    <w:unhideWhenUsed w:val="1"/>
    <w:qFormat w:val="1"/>
    <w:pPr>
      <w:tabs>
        <w:tab w:val="clear" w:pos="-5585"/>
        <w:tab w:val="left" w:pos="-8987"/>
        <w:tab w:val="left" w:pos="-8420"/>
      </w:tabs>
      <w:ind w:left="3799" w:hanging="1134"/>
      <w:outlineLvl w:val="5"/>
    </w:pPr>
  </w:style>
  <w:style w:type="paragraph" w:styleId="Heading7">
    <w:name w:val="heading 7"/>
    <w:basedOn w:val="Heading6"/>
    <w:link w:val="Heading7Char"/>
    <w:pPr>
      <w:tabs>
        <w:tab w:val="clear" w:pos="-8987"/>
        <w:tab w:val="clear" w:pos="-8420"/>
        <w:tab w:val="left" w:pos="-10688"/>
        <w:tab w:val="left" w:pos="-9554"/>
      </w:tabs>
      <w:ind w:left="4366" w:hanging="1304"/>
      <w:outlineLvl w:val="6"/>
    </w:pPr>
  </w:style>
  <w:style w:type="paragraph" w:styleId="Heading8">
    <w:name w:val="heading 8"/>
    <w:basedOn w:val="Normal"/>
    <w:next w:val="Normal"/>
    <w:link w:val="Heading8Char"/>
    <w:unhideWhenUsed w:val="1"/>
    <w:qFormat w:val="1"/>
    <w:pPr>
      <w:keepNext w:val="1"/>
      <w:keepLines w:val="1"/>
      <w:spacing w:after="0" w:before="200"/>
      <w:outlineLvl w:val="7"/>
    </w:pPr>
    <w:rPr>
      <w:rFonts w:asciiTheme="majorHAnsi" w:cstheme="majorBidi" w:eastAsiaTheme="majorEastAsia" w:hAnsiTheme="majorHAnsi"/>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sid w:val="00EE2956"/>
    <w:pPr>
      <w:keepNext w:val="1"/>
      <w:keepLines w:val="1"/>
      <w:spacing w:after="120" w:before="480"/>
    </w:pPr>
    <w:rPr>
      <w:b w:val="1"/>
      <w:sz w:val="72"/>
      <w:szCs w:val="72"/>
    </w:rPr>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CLAUSEHEADING" w:customStyle="1">
    <w:name w:val="GPS L1 CLAUSE HEADING"/>
    <w:basedOn w:val="Normal"/>
    <w:next w:val="Normal"/>
    <w:qFormat w:val="1"/>
    <w:rsid w:val="00EE2956"/>
    <w:pPr>
      <w:numPr>
        <w:numId w:val="2"/>
      </w:numPr>
      <w:tabs>
        <w:tab w:val="left" w:pos="142"/>
      </w:tabs>
      <w:adjustRightInd w:val="0"/>
      <w:spacing w:after="240" w:before="120" w:line="240" w:lineRule="auto"/>
      <w:jc w:val="both"/>
      <w:outlineLvl w:val="1"/>
    </w:pPr>
    <w:rPr>
      <w:rFonts w:cs="Arial" w:eastAsia="STZhongsong"/>
      <w:b w:val="1"/>
      <w:caps w:val="1"/>
      <w:lang w:eastAsia="zh-CN"/>
    </w:rPr>
  </w:style>
  <w:style w:type="paragraph" w:styleId="GPSL3numberedclause" w:customStyle="1">
    <w:name w:val="GPS L3 numbered clause"/>
    <w:basedOn w:val="Normal"/>
    <w:link w:val="GPSL3numberedclauseChar"/>
    <w:qFormat w:val="1"/>
    <w:rsid w:val="00EE2956"/>
    <w:pPr>
      <w:numPr>
        <w:ilvl w:val="2"/>
        <w:numId w:val="2"/>
      </w:numPr>
      <w:tabs>
        <w:tab w:val="left" w:pos="1985"/>
      </w:tabs>
      <w:adjustRightInd w:val="0"/>
      <w:spacing w:after="120" w:before="120" w:line="240" w:lineRule="auto"/>
      <w:jc w:val="both"/>
    </w:pPr>
    <w:rPr>
      <w:rFonts w:cs="Arial" w:eastAsia="Times New Roman"/>
      <w:lang w:eastAsia="zh-CN"/>
    </w:rPr>
  </w:style>
  <w:style w:type="paragraph" w:styleId="GPSL4numberedclause" w:customStyle="1">
    <w:name w:val="GPS L4 numbered clause"/>
    <w:basedOn w:val="GPSL3numberedclause"/>
    <w:qFormat w:val="1"/>
    <w:pPr>
      <w:numPr>
        <w:ilvl w:val="3"/>
      </w:numPr>
      <w:tabs>
        <w:tab w:val="clear" w:pos="1985"/>
      </w:tabs>
    </w:pPr>
  </w:style>
  <w:style w:type="paragraph" w:styleId="GPSL5numberedclause" w:customStyle="1">
    <w:name w:val="GPS L5 numbered clause"/>
    <w:basedOn w:val="GPSL4numberedclause"/>
    <w:qFormat w:val="1"/>
    <w:rsid w:val="00EE2956"/>
    <w:pPr>
      <w:numPr>
        <w:ilvl w:val="4"/>
      </w:numPr>
      <w:tabs>
        <w:tab w:val="num" w:pos="360"/>
        <w:tab w:val="left" w:pos="3119"/>
      </w:tabs>
    </w:pPr>
  </w:style>
  <w:style w:type="paragraph" w:styleId="GPSL2NumberedBoldHeading" w:customStyle="1">
    <w:name w:val="GPS L2 Numbered Bold Heading"/>
    <w:basedOn w:val="Normal"/>
    <w:link w:val="GPSL2NumberedBoldHeadingChar"/>
    <w:qFormat w:val="1"/>
    <w:rsid w:val="00EE2956"/>
    <w:pPr>
      <w:numPr>
        <w:ilvl w:val="1"/>
        <w:numId w:val="2"/>
      </w:numPr>
      <w:tabs>
        <w:tab w:val="left" w:pos="1134"/>
      </w:tabs>
      <w:adjustRightInd w:val="0"/>
      <w:spacing w:after="120" w:before="120" w:line="240" w:lineRule="auto"/>
      <w:jc w:val="both"/>
    </w:pPr>
    <w:rPr>
      <w:rFonts w:cs="Arial" w:eastAsia="Times New Roman"/>
      <w:b w:val="1"/>
      <w:lang w:eastAsia="zh-CN"/>
    </w:rPr>
  </w:style>
  <w:style w:type="paragraph" w:styleId="GPSL6numbered" w:customStyle="1">
    <w:name w:val="GPS L6 numbered"/>
    <w:basedOn w:val="GPSL5numberedclause"/>
    <w:qFormat w:val="1"/>
    <w:rsid w:val="00EE2956"/>
    <w:pPr>
      <w:numPr>
        <w:ilvl w:val="5"/>
      </w:numPr>
      <w:tabs>
        <w:tab w:val="num" w:pos="360"/>
        <w:tab w:val="num" w:pos="3600"/>
        <w:tab w:val="left" w:pos="3686"/>
      </w:tabs>
    </w:pPr>
  </w:style>
  <w:style w:type="character" w:styleId="GPSL3numberedclauseChar" w:customStyle="1">
    <w:name w:val="GPS L3 numbered clause Char"/>
    <w:link w:val="GPSL3numberedclause"/>
    <w:locked w:val="1"/>
    <w:rPr>
      <w:rFonts w:cs="Arial" w:eastAsia="Times New Roman"/>
      <w:lang w:eastAsia="zh-CN"/>
    </w:rPr>
  </w:style>
  <w:style w:type="character" w:styleId="GPSL2NumberedBoldHeadingChar" w:customStyle="1">
    <w:name w:val="GPS L2 Numbered Bold Heading Char"/>
    <w:link w:val="GPSL2NumberedBoldHeading"/>
    <w:locked w:val="1"/>
    <w:rPr>
      <w:rFonts w:cs="Arial" w:eastAsia="Times New Roman"/>
      <w:b w:val="1"/>
      <w:lang w:eastAsia="zh-CN"/>
    </w:rPr>
  </w:style>
  <w:style w:type="paragraph" w:styleId="GPsDefinition" w:customStyle="1">
    <w:name w:val="GPs Definition"/>
    <w:basedOn w:val="Normal"/>
    <w:qFormat w:val="1"/>
    <w:rsid w:val="00EE2956"/>
    <w:pPr>
      <w:numPr>
        <w:numId w:val="1"/>
      </w:numPr>
      <w:tabs>
        <w:tab w:val="left" w:pos="175"/>
      </w:tabs>
      <w:overflowPunct w:val="0"/>
      <w:autoSpaceDE w:val="0"/>
      <w:autoSpaceDN w:val="0"/>
      <w:adjustRightInd w:val="0"/>
      <w:spacing w:after="120" w:line="240" w:lineRule="auto"/>
      <w:jc w:val="both"/>
      <w:textAlignment w:val="baseline"/>
    </w:pPr>
    <w:rPr>
      <w:rFonts w:cs="Arial" w:eastAsia="Times New Roman"/>
    </w:rPr>
  </w:style>
  <w:style w:type="paragraph" w:styleId="GPSDefinitionL2" w:customStyle="1">
    <w:name w:val="GPS Definition L2"/>
    <w:basedOn w:val="GPsDefinition"/>
    <w:qFormat w:val="1"/>
    <w:pPr>
      <w:numPr>
        <w:ilvl w:val="1"/>
      </w:numPr>
      <w:ind w:hanging="544"/>
    </w:pPr>
  </w:style>
  <w:style w:type="paragraph" w:styleId="GPSDefinitionL3" w:customStyle="1">
    <w:name w:val="GPS Definition L3"/>
    <w:basedOn w:val="GPSDefinitionL2"/>
    <w:qFormat w:val="1"/>
    <w:pPr>
      <w:numPr>
        <w:ilvl w:val="2"/>
      </w:numPr>
    </w:pPr>
  </w:style>
  <w:style w:type="paragraph" w:styleId="GPSDefinitionL4" w:customStyle="1">
    <w:name w:val="GPS Definition L4"/>
    <w:basedOn w:val="GPSDefinitionL3"/>
    <w:qFormat w:val="1"/>
    <w:pPr>
      <w:numPr>
        <w:ilvl w:val="3"/>
      </w:numPr>
    </w:pPr>
  </w:style>
  <w:style w:type="paragraph" w:styleId="GPSDefinitionTerm" w:customStyle="1">
    <w:name w:val="GPS Definition Term"/>
    <w:basedOn w:val="Normal"/>
    <w:qFormat w:val="1"/>
    <w:rsid w:val="00EE2956"/>
    <w:pPr>
      <w:overflowPunct w:val="0"/>
      <w:autoSpaceDE w:val="0"/>
      <w:autoSpaceDN w:val="0"/>
      <w:adjustRightInd w:val="0"/>
      <w:spacing w:after="120" w:line="240" w:lineRule="auto"/>
      <w:ind w:left="-108"/>
      <w:textAlignment w:val="baseline"/>
    </w:pPr>
    <w:rPr>
      <w:rFonts w:cs="Arial" w:eastAsia="Times New Roman"/>
      <w:b w:val="1"/>
    </w:rPr>
  </w:style>
  <w:style w:type="paragraph" w:styleId="GPSL1SCHEDULEHeading" w:customStyle="1">
    <w:name w:val="GPS L1 SCHEDULE Heading"/>
    <w:basedOn w:val="GPSL1CLAUSEHEADING"/>
    <w:link w:val="GPSL1SCHEDULEHeadingChar"/>
    <w:qFormat w:val="1"/>
    <w:rsid w:val="00EE2956"/>
    <w:pPr>
      <w:outlineLvl w:val="9"/>
    </w:pPr>
    <w:rPr>
      <w:caps w:val="0"/>
    </w:rPr>
  </w:style>
  <w:style w:type="paragraph" w:styleId="GPSL3Guidance" w:customStyle="1">
    <w:name w:val="GPS L3 Guidance"/>
    <w:basedOn w:val="GPSL3numberedclause"/>
    <w:link w:val="GPSL3GuidanceChar"/>
    <w:qFormat w:val="1"/>
    <w:pPr>
      <w:numPr>
        <w:ilvl w:val="0"/>
        <w:numId w:val="0"/>
      </w:numPr>
      <w:ind w:left="1985"/>
    </w:pPr>
    <w:rPr>
      <w:b w:val="1"/>
      <w:i w:val="1"/>
    </w:rPr>
  </w:style>
  <w:style w:type="paragraph" w:styleId="GPSmacrorestart" w:customStyle="1">
    <w:name w:val="GPS macro restart"/>
    <w:basedOn w:val="Normal"/>
    <w:qFormat w:val="1"/>
    <w:rsid w:val="00EE2956"/>
    <w:pPr>
      <w:overflowPunct w:val="0"/>
      <w:autoSpaceDE w:val="0"/>
      <w:autoSpaceDN w:val="0"/>
      <w:adjustRightInd w:val="0"/>
      <w:spacing w:after="0" w:line="240" w:lineRule="auto"/>
      <w:jc w:val="both"/>
      <w:textAlignment w:val="baseline"/>
    </w:pPr>
    <w:rPr>
      <w:rFonts w:cs="Arial" w:eastAsia="Times New Roman"/>
      <w:color w:val="ffffff"/>
      <w:sz w:val="16"/>
      <w:szCs w:val="16"/>
    </w:rPr>
  </w:style>
  <w:style w:type="paragraph" w:styleId="GPSL2Numbered" w:customStyle="1">
    <w:name w:val="GPS L2 Numbered"/>
    <w:basedOn w:val="GPSL2NumberedBoldHeading"/>
    <w:link w:val="GPSL2NumberedChar"/>
    <w:qFormat w:val="1"/>
    <w:rsid w:val="00EE2956"/>
    <w:pPr>
      <w:tabs>
        <w:tab w:val="clear" w:pos="1134"/>
      </w:tabs>
    </w:pPr>
    <w:rPr>
      <w:b w:val="0"/>
    </w:rPr>
  </w:style>
  <w:style w:type="character" w:styleId="GPSL2NumberedChar" w:customStyle="1">
    <w:name w:val="GPS L2 Numbered Char"/>
    <w:link w:val="GPSL2Numbered"/>
    <w:locked w:val="1"/>
    <w:rPr>
      <w:rFonts w:cs="Arial" w:eastAsia="Times New Roman"/>
      <w:lang w:eastAsia="zh-CN"/>
    </w:rPr>
  </w:style>
  <w:style w:type="character" w:styleId="GPSL1SCHEDULEHeadingChar" w:customStyle="1">
    <w:name w:val="GPS L1 SCHEDULE Heading Char"/>
    <w:link w:val="GPSL1SCHEDULEHeading"/>
    <w:locked w:val="1"/>
    <w:rsid w:val="005C6957"/>
    <w:rPr>
      <w:rFonts w:cs="Arial" w:eastAsia="STZhongsong"/>
      <w:b w:val="1"/>
      <w:lang w:eastAsia="zh-CN"/>
    </w:rPr>
  </w:style>
  <w:style w:type="character" w:styleId="GPSL3GuidanceChar" w:customStyle="1">
    <w:name w:val="GPS L3 Guidance Char"/>
    <w:link w:val="GPSL3Guidance"/>
    <w:rPr>
      <w:rFonts w:ascii="Calibri" w:cs="Arial" w:eastAsia="Times New Roman" w:hAnsi="Calibri"/>
      <w:b w:val="1"/>
      <w:i w:val="1"/>
      <w:lang w:eastAsia="zh-CN"/>
    </w:rPr>
  </w:style>
  <w:style w:type="paragraph" w:styleId="Normal1" w:customStyle="1">
    <w:name w:val="Normal1"/>
    <w:rsid w:val="00EE2956"/>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character" w:styleId="Heading8Char" w:customStyle="1">
    <w:name w:val="Heading 8 Char"/>
    <w:basedOn w:val="DefaultParagraphFont"/>
    <w:link w:val="Heading8"/>
    <w:rPr>
      <w:rFonts w:asciiTheme="majorHAnsi" w:cstheme="majorBidi" w:eastAsiaTheme="majorEastAsia" w:hAnsiTheme="majorHAnsi"/>
      <w:color w:val="404040" w:themeColor="text1" w:themeTint="0000BF"/>
      <w:sz w:val="20"/>
      <w:szCs w:val="20"/>
    </w:rPr>
  </w:style>
  <w:style w:type="character" w:styleId="Heading5Char" w:customStyle="1">
    <w:name w:val="Heading 5 Char"/>
    <w:basedOn w:val="DefaultParagraphFont"/>
    <w:link w:val="Heading5"/>
    <w:rPr>
      <w:rFonts w:ascii="Arial" w:cs="Times New Roman" w:eastAsia="Times New Roman" w:hAnsi="Arial"/>
    </w:rPr>
  </w:style>
  <w:style w:type="character" w:styleId="Heading6Char" w:customStyle="1">
    <w:name w:val="Heading 6 Char"/>
    <w:basedOn w:val="DefaultParagraphFont"/>
    <w:link w:val="Heading6"/>
    <w:rPr>
      <w:rFonts w:ascii="Arial" w:cs="Times New Roman" w:eastAsia="Times New Roman" w:hAnsi="Arial"/>
    </w:rPr>
  </w:style>
  <w:style w:type="character" w:styleId="Heading7Char" w:customStyle="1">
    <w:name w:val="Heading 7 Char"/>
    <w:basedOn w:val="DefaultParagraphFont"/>
    <w:link w:val="Heading7"/>
    <w:rPr>
      <w:rFonts w:ascii="Arial" w:cs="Times New Roman" w:eastAsia="Times New Roman" w:hAnsi="Arial"/>
    </w:rPr>
  </w:style>
  <w:style w:type="numbering" w:styleId="WWOutlineListStyle8" w:customStyle="1">
    <w:name w:val="WW_OutlineListStyle_8"/>
    <w:basedOn w:val="NoList"/>
  </w:style>
  <w:style w:type="character" w:styleId="Hyperlink">
    <w:name w:val="Hyperlink"/>
    <w:basedOn w:val="DefaultParagraphFont"/>
    <w:uiPriority w:val="99"/>
    <w:unhideWhenUsed w:val="1"/>
    <w:rPr>
      <w:color w:val="0000ff" w:themeColor="hyperlink"/>
      <w:u w:val="single"/>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character" w:styleId="FollowedHyperlink">
    <w:name w:val="FollowedHyperlink"/>
    <w:basedOn w:val="DefaultParagraphFont"/>
    <w:uiPriority w:val="99"/>
    <w:semiHidden w:val="1"/>
    <w:unhideWhenUsed w:val="1"/>
    <w:rPr>
      <w:color w:val="800080" w:themeColor="followedHyperlink"/>
      <w:u w:val="single"/>
    </w:rPr>
  </w:style>
  <w:style w:type="paragraph" w:styleId="Revision">
    <w:name w:val="Revision"/>
    <w:hidden w:val="1"/>
    <w:uiPriority w:val="99"/>
    <w:semiHidden w:val="1"/>
    <w:pPr>
      <w:spacing w:after="0" w:line="240" w:lineRule="auto"/>
    </w:pPr>
  </w:style>
  <w:style w:type="paragraph" w:styleId="GPSL2numberedclause" w:customStyle="1">
    <w:name w:val="GPS L2 numbered clause"/>
    <w:basedOn w:val="Normal"/>
    <w:link w:val="GPSL2numberedclauseChar1"/>
    <w:qFormat w:val="1"/>
    <w:rsid w:val="00EE2956"/>
    <w:pPr>
      <w:tabs>
        <w:tab w:val="num" w:pos="720"/>
        <w:tab w:val="left" w:pos="1134"/>
      </w:tabs>
      <w:adjustRightInd w:val="0"/>
      <w:spacing w:after="120" w:before="120" w:line="240" w:lineRule="auto"/>
      <w:ind w:left="720" w:hanging="720"/>
      <w:jc w:val="both"/>
    </w:pPr>
    <w:rPr>
      <w:rFonts w:cs="Arial" w:eastAsia="Times New Roman"/>
      <w:lang w:eastAsia="zh-CN"/>
    </w:rPr>
  </w:style>
  <w:style w:type="character" w:styleId="GPSL2numberedclauseChar1" w:customStyle="1">
    <w:name w:val="GPS L2 numbered clause Char1"/>
    <w:link w:val="GPSL2numberedclause"/>
    <w:rPr>
      <w:rFonts w:cs="Arial" w:eastAsia="Times New Roman"/>
      <w:lang w:eastAsia="zh-CN"/>
    </w:rPr>
  </w:style>
  <w:style w:type="character" w:styleId="Heading1Char" w:customStyle="1">
    <w:name w:val="Heading 1 Char"/>
    <w:basedOn w:val="DefaultParagraphFont"/>
    <w:link w:val="Heading1"/>
    <w:uiPriority w:val="9"/>
    <w:rPr>
      <w:rFonts w:asciiTheme="majorHAnsi" w:cstheme="majorBidi" w:eastAsiaTheme="majorEastAsia" w:hAnsiTheme="majorHAnsi"/>
      <w:b w:val="1"/>
      <w:bCs w:val="1"/>
      <w:color w:val="365f91" w:themeColor="accent1" w:themeShade="0000BF"/>
      <w:sz w:val="28"/>
      <w:szCs w:val="28"/>
    </w:rPr>
  </w:style>
  <w:style w:type="character" w:styleId="MarginTextChar" w:customStyle="1">
    <w:name w:val="Margin Text Char"/>
    <w:link w:val="MarginText"/>
    <w:locked w:val="1"/>
    <w:rPr>
      <w:rFonts w:cs="Times New Roman" w:eastAsia="STZhongsong"/>
      <w:szCs w:val="18"/>
      <w:lang w:eastAsia="zh-CN"/>
    </w:rPr>
  </w:style>
  <w:style w:type="paragraph" w:styleId="MarginText" w:customStyle="1">
    <w:name w:val="Margin Text"/>
    <w:basedOn w:val="Normal"/>
    <w:link w:val="MarginTextChar"/>
    <w:rsid w:val="00EE2956"/>
    <w:pPr>
      <w:keepNext w:val="1"/>
      <w:adjustRightInd w:val="0"/>
      <w:spacing w:after="120" w:before="240" w:line="240" w:lineRule="auto"/>
      <w:ind w:left="142"/>
      <w:jc w:val="both"/>
    </w:pPr>
    <w:rPr>
      <w:rFonts w:cs="Times New Roman" w:eastAsia="STZhongsong"/>
      <w:szCs w:val="18"/>
      <w:lang w:eastAsia="zh-CN"/>
    </w:rPr>
  </w:style>
  <w:style w:type="character" w:styleId="Heading2Char" w:customStyle="1">
    <w:name w:val="Heading 2 Char"/>
    <w:basedOn w:val="DefaultParagraphFont"/>
    <w:link w:val="Heading2"/>
    <w:uiPriority w:val="9"/>
    <w:semiHidden w:val="1"/>
    <w:rPr>
      <w:rFonts w:asciiTheme="majorHAnsi" w:cstheme="majorBidi" w:eastAsiaTheme="majorEastAsia" w:hAnsiTheme="majorHAnsi"/>
      <w:b w:val="1"/>
      <w:bCs w:val="1"/>
      <w:color w:val="4f81bd" w:themeColor="accent1"/>
      <w:sz w:val="26"/>
      <w:szCs w:val="2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pPr>
      <w:spacing w:after="0" w:line="240" w:lineRule="auto"/>
    </w:pPr>
    <w:rPr>
      <w:color w:val="000000"/>
      <w:sz w:val="20"/>
      <w:szCs w:val="20"/>
    </w:rPr>
    <w:tblPr>
      <w:tblStyleRowBandSize w:val="1"/>
      <w:tblStyleColBandSize w:val="1"/>
      <w:tblCellMar>
        <w:top w:w="100.0" w:type="dxa"/>
        <w:left w:w="100.0" w:type="dxa"/>
        <w:bottom w:w="100.0" w:type="dxa"/>
        <w:right w:w="100.0" w:type="dxa"/>
      </w:tblCellMar>
    </w:tblPr>
  </w:style>
  <w:style w:type="table" w:styleId="a2" w:customStyle="1">
    <w:basedOn w:val="TableNormal"/>
    <w:pPr>
      <w:spacing w:after="0" w:line="240" w:lineRule="auto"/>
    </w:pPr>
    <w:rPr>
      <w:color w:val="000000"/>
      <w:sz w:val="20"/>
      <w:szCs w:val="20"/>
    </w:rPr>
    <w:tblPr>
      <w:tblStyleRowBandSize w:val="1"/>
      <w:tblStyleColBandSize w:val="1"/>
      <w:tblCellMar>
        <w:top w:w="100.0" w:type="dxa"/>
        <w:left w:w="100.0" w:type="dxa"/>
        <w:bottom w:w="100.0" w:type="dxa"/>
        <w:right w:w="100.0" w:type="dxa"/>
      </w:tblCellMar>
    </w:tblPr>
  </w:style>
  <w:style w:type="table" w:styleId="a3" w:customStyle="1">
    <w:basedOn w:val="TableNormal"/>
    <w:pPr>
      <w:spacing w:after="0" w:line="240" w:lineRule="auto"/>
    </w:pPr>
    <w:rPr>
      <w:color w:val="000000"/>
      <w:sz w:val="20"/>
      <w:szCs w:val="20"/>
    </w:rPr>
    <w:tblPr>
      <w:tblStyleRowBandSize w:val="1"/>
      <w:tblStyleColBandSize w:val="1"/>
      <w:tblCellMar>
        <w:top w:w="100.0" w:type="dxa"/>
        <w:left w:w="100.0" w:type="dxa"/>
        <w:bottom w:w="100.0" w:type="dxa"/>
        <w:right w:w="100.0" w:type="dxa"/>
      </w:tblCellMar>
    </w:tblPr>
  </w:style>
  <w:style w:type="table" w:styleId="a4" w:customStyle="1">
    <w:basedOn w:val="TableNormal"/>
    <w:pPr>
      <w:spacing w:after="0" w:line="240" w:lineRule="auto"/>
    </w:pPr>
    <w:rPr>
      <w:color w:val="000000"/>
      <w:sz w:val="20"/>
      <w:szCs w:val="20"/>
    </w:rPr>
    <w:tblPr>
      <w:tblStyleRowBandSize w:val="1"/>
      <w:tblStyleColBandSize w:val="1"/>
      <w:tblCellMar>
        <w:top w:w="100.0" w:type="dxa"/>
        <w:left w:w="100.0" w:type="dxa"/>
        <w:bottom w:w="100.0" w:type="dxa"/>
        <w:right w:w="100.0" w:type="dxa"/>
      </w:tblCellMar>
    </w:tblPr>
  </w:style>
  <w:style w:type="table" w:styleId="a5" w:customStyle="1">
    <w:basedOn w:val="TableNormal"/>
    <w:pPr>
      <w:spacing w:after="0" w:line="240" w:lineRule="auto"/>
    </w:pPr>
    <w:rPr>
      <w:color w:val="000000"/>
      <w:sz w:val="20"/>
      <w:szCs w:val="20"/>
    </w:rPr>
    <w:tblPr>
      <w:tblStyleRowBandSize w:val="1"/>
      <w:tblStyleColBandSize w:val="1"/>
      <w:tblCellMar>
        <w:top w:w="100.0" w:type="dxa"/>
        <w:left w:w="100.0" w:type="dxa"/>
        <w:bottom w:w="100.0" w:type="dxa"/>
        <w:right w:w="100.0" w:type="dxa"/>
      </w:tblCellMar>
    </w:tblPr>
  </w:style>
  <w:style w:type="table" w:styleId="a6" w:customStyle="1">
    <w:basedOn w:val="TableNormal"/>
    <w:pPr>
      <w:spacing w:after="0" w:line="240" w:lineRule="auto"/>
    </w:pPr>
    <w:rPr>
      <w:color w:val="000000"/>
      <w:sz w:val="20"/>
      <w:szCs w:val="20"/>
    </w:rPr>
    <w:tblPr>
      <w:tblStyleRowBandSize w:val="1"/>
      <w:tblStyleColBandSize w:val="1"/>
      <w:tblCellMar>
        <w:top w:w="100.0" w:type="dxa"/>
        <w:left w:w="100.0" w:type="dxa"/>
        <w:bottom w:w="100.0" w:type="dxa"/>
        <w:right w:w="100.0" w:type="dxa"/>
      </w:tblCellMar>
    </w:tblPr>
  </w:style>
  <w:style w:type="table" w:styleId="a7" w:customStyle="1">
    <w:basedOn w:val="TableNormal"/>
    <w:pPr>
      <w:spacing w:after="0" w:line="240" w:lineRule="auto"/>
    </w:pPr>
    <w:rPr>
      <w:color w:val="000000"/>
      <w:sz w:val="20"/>
      <w:szCs w:val="20"/>
    </w:rPr>
    <w:tblPr>
      <w:tblStyleRowBandSize w:val="1"/>
      <w:tblStyleColBandSize w:val="1"/>
      <w:tblCellMar>
        <w:top w:w="100.0" w:type="dxa"/>
        <w:left w:w="100.0" w:type="dxa"/>
        <w:bottom w:w="100.0" w:type="dxa"/>
        <w:right w:w="100.0" w:type="dxa"/>
      </w:tblCellMar>
    </w:tblPr>
  </w:style>
  <w:style w:type="table" w:styleId="a8" w:customStyle="1">
    <w:basedOn w:val="TableNormal"/>
    <w:pPr>
      <w:spacing w:after="0" w:line="240" w:lineRule="auto"/>
    </w:pPr>
    <w:rPr>
      <w:color w:val="000000"/>
      <w:sz w:val="20"/>
      <w:szCs w:val="20"/>
    </w:rPr>
    <w:tblPr>
      <w:tblStyleRowBandSize w:val="1"/>
      <w:tblStyleColBandSize w:val="1"/>
      <w:tblCellMar>
        <w:top w:w="100.0" w:type="dxa"/>
        <w:left w:w="100.0" w:type="dxa"/>
        <w:bottom w:w="100.0" w:type="dxa"/>
        <w:right w:w="100.0" w:type="dxa"/>
      </w:tblCellMar>
    </w:tblPr>
  </w:style>
  <w:style w:type="table" w:styleId="a9" w:customStyle="1">
    <w:basedOn w:val="TableNormal"/>
    <w:pPr>
      <w:spacing w:after="0" w:line="240" w:lineRule="auto"/>
    </w:pPr>
    <w:rPr>
      <w:color w:val="000000"/>
      <w:sz w:val="20"/>
      <w:szCs w:val="20"/>
    </w:rPr>
    <w:tblPr>
      <w:tblStyleRowBandSize w:val="1"/>
      <w:tblStyleColBandSize w:val="1"/>
      <w:tblCellMar>
        <w:top w:w="100.0" w:type="dxa"/>
        <w:left w:w="100.0" w:type="dxa"/>
        <w:bottom w:w="100.0" w:type="dxa"/>
        <w:right w:w="100.0" w:type="dxa"/>
      </w:tblCellMar>
    </w:tblPr>
  </w:style>
  <w:style w:type="table" w:styleId="aa" w:customStyle="1">
    <w:basedOn w:val="TableNormal"/>
    <w:pPr>
      <w:spacing w:after="0" w:line="240" w:lineRule="auto"/>
    </w:pPr>
    <w:rPr>
      <w:color w:val="000000"/>
      <w:sz w:val="20"/>
      <w:szCs w:val="20"/>
    </w:rPr>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796FD7"/>
    <w:pPr>
      <w:ind w:left="720"/>
      <w:contextualSpacing w:val="1"/>
    </w:pPr>
    <w:rPr>
      <w:rFonts w:asciiTheme="minorHAnsi" w:cstheme="minorBidi" w:eastAsiaTheme="minorHAnsi" w:hAnsiTheme="minorHAnsi"/>
    </w:rPr>
  </w:style>
  <w:style w:type="table" w:styleId="ab" w:customStyle="1">
    <w:basedOn w:val="TableNormal"/>
    <w:pPr>
      <w:spacing w:after="0" w:line="240" w:lineRule="auto"/>
    </w:pPr>
    <w:rPr>
      <w:color w:val="000000"/>
      <w:sz w:val="20"/>
      <w:szCs w:val="20"/>
    </w:rPr>
    <w:tblPr>
      <w:tblStyleRowBandSize w:val="1"/>
      <w:tblStyleColBandSize w:val="1"/>
      <w:tblCellMar>
        <w:top w:w="100.0" w:type="dxa"/>
        <w:left w:w="100.0" w:type="dxa"/>
        <w:bottom w:w="100.0" w:type="dxa"/>
        <w:right w:w="100.0" w:type="dxa"/>
      </w:tblCellMar>
    </w:tblPr>
  </w:style>
  <w:style w:type="table" w:styleId="ac" w:customStyle="1">
    <w:basedOn w:val="TableNormal"/>
    <w:pPr>
      <w:spacing w:after="0" w:line="240" w:lineRule="auto"/>
    </w:pPr>
    <w:rPr>
      <w:color w:val="000000"/>
      <w:sz w:val="20"/>
      <w:szCs w:val="20"/>
    </w:rPr>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CellMar>
        <w:left w:w="115.0" w:type="dxa"/>
        <w:right w:w="115.0" w:type="dxa"/>
      </w:tblCellMar>
    </w:tblPr>
  </w:style>
  <w:style w:type="table" w:styleId="ae" w:customStyle="1">
    <w:basedOn w:val="TableNormal"/>
    <w:pPr>
      <w:spacing w:after="0" w:line="240" w:lineRule="auto"/>
    </w:pPr>
    <w:rPr>
      <w:color w:val="000000"/>
      <w:sz w:val="20"/>
      <w:szCs w:val="20"/>
    </w:rPr>
    <w:tblPr>
      <w:tblStyleRowBandSize w:val="1"/>
      <w:tblStyleColBandSize w:val="1"/>
      <w:tblCellMar>
        <w:top w:w="100.0" w:type="dxa"/>
        <w:left w:w="115.0" w:type="dxa"/>
        <w:bottom w:w="100.0" w:type="dxa"/>
        <w:right w:w="115.0" w:type="dxa"/>
      </w:tblCellMar>
    </w:tblPr>
  </w:style>
  <w:style w:type="table" w:styleId="af" w:customStyle="1">
    <w:basedOn w:val="TableNormal"/>
    <w:pPr>
      <w:spacing w:after="0" w:line="240" w:lineRule="auto"/>
    </w:pPr>
    <w:rPr>
      <w:color w:val="000000"/>
      <w:sz w:val="20"/>
      <w:szCs w:val="20"/>
    </w:rPr>
    <w:tblPr>
      <w:tblStyleRowBandSize w:val="1"/>
      <w:tblStyleColBandSize w:val="1"/>
      <w:tblCellMar>
        <w:top w:w="100.0" w:type="dxa"/>
        <w:left w:w="115.0" w:type="dxa"/>
        <w:bottom w:w="100.0" w:type="dxa"/>
        <w:right w:w="115.0" w:type="dxa"/>
      </w:tblCellMar>
    </w:tblPr>
  </w:style>
  <w:style w:type="table" w:styleId="af0" w:customStyle="1">
    <w:basedOn w:val="TableNormal"/>
    <w:pPr>
      <w:spacing w:after="0" w:line="240" w:lineRule="auto"/>
    </w:pPr>
    <w:rPr>
      <w:color w:val="000000"/>
      <w:sz w:val="20"/>
      <w:szCs w:val="20"/>
    </w:rPr>
    <w:tblPr>
      <w:tblStyleRowBandSize w:val="1"/>
      <w:tblStyleColBandSize w:val="1"/>
      <w:tblCellMar>
        <w:top w:w="100.0" w:type="dxa"/>
        <w:left w:w="115.0" w:type="dxa"/>
        <w:bottom w:w="100.0" w:type="dxa"/>
        <w:right w:w="115.0" w:type="dxa"/>
      </w:tblCellMar>
    </w:tblPr>
  </w:style>
  <w:style w:type="table" w:styleId="af1" w:customStyle="1">
    <w:basedOn w:val="TableNormal"/>
    <w:pPr>
      <w:spacing w:after="0" w:line="240" w:lineRule="auto"/>
    </w:pPr>
    <w:rPr>
      <w:color w:val="000000"/>
      <w:sz w:val="20"/>
      <w:szCs w:val="20"/>
    </w:rPr>
    <w:tblPr>
      <w:tblStyleRowBandSize w:val="1"/>
      <w:tblStyleColBandSize w:val="1"/>
      <w:tblCellMar>
        <w:top w:w="100.0" w:type="dxa"/>
        <w:left w:w="115.0" w:type="dxa"/>
        <w:bottom w:w="100.0" w:type="dxa"/>
        <w:right w:w="115.0" w:type="dxa"/>
      </w:tblCellMar>
    </w:tblPr>
  </w:style>
  <w:style w:type="table" w:styleId="af2" w:customStyle="1">
    <w:basedOn w:val="TableNormal"/>
    <w:pPr>
      <w:spacing w:after="0" w:line="240" w:lineRule="auto"/>
    </w:pPr>
    <w:rPr>
      <w:color w:val="000000"/>
      <w:sz w:val="20"/>
      <w:szCs w:val="20"/>
    </w:rPr>
    <w:tblPr>
      <w:tblStyleRowBandSize w:val="1"/>
      <w:tblStyleColBandSize w:val="1"/>
      <w:tblCellMar>
        <w:top w:w="100.0" w:type="dxa"/>
        <w:left w:w="115.0" w:type="dxa"/>
        <w:bottom w:w="100.0" w:type="dxa"/>
        <w:right w:w="115.0" w:type="dxa"/>
      </w:tblCellMar>
    </w:tblPr>
  </w:style>
  <w:style w:type="table" w:styleId="af3" w:customStyle="1">
    <w:basedOn w:val="TableNormal"/>
    <w:pPr>
      <w:spacing w:after="0" w:line="240" w:lineRule="auto"/>
    </w:pPr>
    <w:rPr>
      <w:color w:val="000000"/>
      <w:sz w:val="20"/>
      <w:szCs w:val="20"/>
    </w:rPr>
    <w:tblPr>
      <w:tblStyleRowBandSize w:val="1"/>
      <w:tblStyleColBandSize w:val="1"/>
      <w:tblCellMar>
        <w:top w:w="100.0" w:type="dxa"/>
        <w:left w:w="115.0" w:type="dxa"/>
        <w:bottom w:w="10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000000"/>
      <w:sz w:val="20"/>
      <w:szCs w:val="20"/>
    </w:rPr>
    <w:tblPr>
      <w:tblStyleRowBandSize w:val="1"/>
      <w:tblStyleColBandSize w:val="1"/>
      <w:tblCellMar>
        <w:top w:w="100.0" w:type="dxa"/>
        <w:left w:w="115.0" w:type="dxa"/>
        <w:bottom w:w="100.0" w:type="dxa"/>
        <w:right w:w="115.0" w:type="dxa"/>
      </w:tblCellMar>
    </w:tblPr>
  </w:style>
  <w:style w:type="table" w:styleId="Table2">
    <w:basedOn w:val="TableNormal"/>
    <w:pPr>
      <w:spacing w:after="0" w:line="240" w:lineRule="auto"/>
    </w:pPr>
    <w:rPr>
      <w:color w:val="000000"/>
      <w:sz w:val="20"/>
      <w:szCs w:val="20"/>
    </w:rPr>
    <w:tblPr>
      <w:tblStyleRowBandSize w:val="1"/>
      <w:tblStyleColBandSize w:val="1"/>
      <w:tblCellMar>
        <w:top w:w="100.0" w:type="dxa"/>
        <w:left w:w="115.0" w:type="dxa"/>
        <w:bottom w:w="100.0" w:type="dxa"/>
        <w:right w:w="115.0" w:type="dxa"/>
      </w:tblCellMar>
    </w:tblPr>
  </w:style>
  <w:style w:type="table" w:styleId="Table3">
    <w:basedOn w:val="TableNormal"/>
    <w:pPr>
      <w:spacing w:after="0" w:line="240" w:lineRule="auto"/>
    </w:pPr>
    <w:rPr>
      <w:color w:val="000000"/>
      <w:sz w:val="20"/>
      <w:szCs w:val="20"/>
    </w:r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publications/crown-commercial-service-supplier-logo-and-brand-guidelines" TargetMode="Externa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dfwrk3ayyA0z9aZROhCGiL06Iw==">AMUW2mW4XmGvHAZe+APgMLMFwUqSQuMKBdmesC32WyC9daYxf1jQvisldnPvS1VXmQcLJ/SNmtmwAR/VE5OVaqpQJ1wTBjC7hSEPSy4yfLBgLK/XU5tQNKAGqUkajs1CuwzVNl4eSo3/Ic330bC6TtT4u5G6ak96gghlxznoSCKQQwS9PGQGE9T5Dn6vmJKYM7VnNRYDxBy+LDE5GIasdtUI2kF89YspSBK2Ud/ldRToLmopJqYSTL44xVCljsN570fMyP+xOPpCk8HUO7Q/FLEzlZn1yfa3Xa0ow7Q1M7xkNDw4SIwE677u94MMGlns+dfRTpkvgp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2022-04-07T13:27:00Z</dcterms:created>
  <dc:creator>Becky Leftwich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D1V7</vt:lpwstr>
  </property>
</Properties>
</file>