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2 (Framework Tender)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Framework Tender response prior to award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RM6259 Vertical Application Solutions</w:t>
      <w:tab/>
      <w:t xml:space="preserve">                                           </w:t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after="0" w:line="240" w:lineRule="auto"/>
      <w:jc w:val="both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</w:r>
    <w:r w:rsidDel="00000000" w:rsidR="00000000" w:rsidRPr="00000000">
      <w:rPr>
        <w:rtl w:val="0"/>
      </w:rPr>
      <w:tab/>
      <w:tab/>
      <w:tab/>
    </w:r>
    <w:bookmarkStart w:colFirst="0" w:colLast="0" w:name="bookmark=id.30j0zll" w:id="1"/>
    <w:bookmarkEnd w:id="1"/>
    <w:r w:rsidDel="00000000" w:rsidR="00000000" w:rsidRPr="00000000">
      <w:rPr>
        <w:color w:val="bfbfbf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2 (Framework Tender)</w:t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OVkjOS+WvshwGuL87beRqq0Fvw==">AMUW2mXVPRcUgKcauAGR4ohmVIJP1IVoE6SGzSegGQUXOKDdAfdav7arls/1GZzRQGtK44/8S7tl+aWI54Wz9cAvi76ClGxCrjdnsYZs7v8cpo/3QhlVi3Z3aZiedIc59wKG/zeLgXln+SYKt75yi1nz+fYs88P+xg==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