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9 (Cyber Essentials Scheme) </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9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5084"/>
        <w:tblGridChange w:id="0">
          <w:tblGrid>
            <w:gridCol w:w="3150"/>
            <w:gridCol w:w="5084"/>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Scheme"</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Cyber Essentials Scheme developed by the Government which provides a clear statement of the basic controls all organisations should implement to mitigate the risk from common internet-based threats (as may be amended from time to time). Details of the Cyber Essentials Scheme can be found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https://www.cyberessentials.ncsc.gov.uk/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Basic Certificate"</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certificate awarded on the basis  of self-assessment, verified by an independent certification body, under the Cyber Essentials Scheme and is the basic level of assurance;</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Certificate"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Essentials Basic Certificate or the Cyber Essentials Plus Certificate to be provided by the Supplier as set out in the Framework Award Form</w:t>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 Scheme Data"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sensitive and personal information and other relevant information as referred to in the Cyber Essentials Scheme; and</w:t>
            </w: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Plus Certificate"</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certification awarded on the basis of external testing by an independent certification body of the Supplier’s cyber security approach under the Cyber Essentials Scheme and is a more advanced level of assurance.</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Certification do you need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Where the Framework Award Form requires that the Supplier provide a Cyber Essentials Certificate or Cyber Essentials Plus Certificate prior to the Framework Commencement Date the Supplier shall provide a valid Cyber Essentials Certificate or Cyber Essentials Plus Certificate to CCS. Where the Supplier fails to comply with this Paragraph it shall be prohibited from commencing the provision of Deliverables under any Contract until such time as the Supplier has evidenced to CCS its compliance with this Paragraph 2.1.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1"/>
          <w:i w:val="0"/>
          <w:smallCaps w:val="0"/>
          <w:strike w:val="0"/>
          <w:color w:val="000000"/>
          <w:sz w:val="24"/>
          <w:szCs w:val="24"/>
          <w:highlight w:val="yellow"/>
          <w:u w:val="none"/>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Where the Supplier continues to Process data during the Contract Period of any Call-Off Contract the Supplier shall deliver to CCS evidence of renewal of the Cyber Essentials Certificate or Cyber Essentials Plus Certificate on each anniversary of the first applicable certificate obtained by the Supplier under Paragraph 2.1.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Where the Supplier is due to Process data after the Start date of the first Call-Off Contract but before the end of the Framework Period or Contact Period of the last Call-Off Contract, the Supplier shall deliver to CCS evidence of:</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368" w:right="0" w:hanging="50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2.3.1 a valid and current Cyber Essentials Certificate before the Supplier    Processes any such Cyber Essentials Scheme Data; and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368" w:right="0" w:hanging="50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2.3.2 renewal of the valid Cyber Essentials Certificate on each anniversary of the first Cyber Essentials Scheme certificate obtained by the Supplier under Paragraph 2.1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In the event that the Supplier fails to comply with Paragraphs 2.2 or 2.3 (as applicable), CCS reserves the right to terminate this Contract for material Default.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The Supplier shall ensure that all Sub-Contracts with Subcontractors who </w:t>
      </w:r>
      <w:bookmarkStart w:colFirst="0" w:colLast="0" w:name="bookmark=id.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Cyber Essentials Scheme Data contain provisions no less onerous on the Subcontractors than those imposed on the Supplier under this Contract in respect of the Cyber Essentials Scheme under Paragraph 2.1 of this Schedule.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This Schedule shall survive termination or expiry of this Contract and each and any Call-Off Contract.</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v3.0</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 Vertical Application Solutions</w:t>
      <w:tab/>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v3.2</w:t>
      <w:tab/>
    </w:r>
    <w:r w:rsidDel="00000000" w:rsidR="00000000" w:rsidRPr="00000000">
      <w:rPr>
        <w:rFonts w:ascii="Arial" w:cs="Arial" w:eastAsia="Arial" w:hAnsi="Arial"/>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9 (Cyber Essential Scheme)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9 (Cyber Essential Scheme)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94"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pPr>
  </w:style>
  <w:style w:type="paragraph" w:styleId="GPSL2NumberedBoldHeading" w:customStyle="1">
    <w:name w:val="GPS L2 Numbered Bold Heading"/>
    <w:basedOn w:val="Normal"/>
    <w:qFormat w:val="1"/>
    <w:pPr>
      <w:numPr>
        <w:ilvl w:val="1"/>
        <w:numId w:val="1"/>
      </w:numPr>
      <w:adjustRightInd w:val="0"/>
      <w:spacing w:after="120" w:before="120" w:line="240" w:lineRule="auto"/>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DefinitionL2" w:customStyle="1">
    <w:name w:val="GPS Definition L2"/>
    <w:basedOn w:val="Normal"/>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L2Numbered" w:customStyle="1">
    <w:name w:val="GPS L2 Numbered"/>
    <w:basedOn w:val="GPSL2NumberedBoldHeading"/>
    <w:pPr>
      <w:numPr>
        <w:ilvl w:val="0"/>
        <w:numId w:val="0"/>
      </w:numPr>
      <w:tabs>
        <w:tab w:val="left" w:pos="709"/>
      </w:tabs>
      <w:autoSpaceDN w:val="0"/>
      <w:adjustRightInd w:val="1"/>
      <w:ind w:left="1494" w:hanging="360"/>
    </w:pPr>
    <w:rPr>
      <w:b w:val="0"/>
    </w:rPr>
  </w:style>
  <w:style w:type="paragraph" w:styleId="GPSDefinitionL4" w:customStyle="1">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cs="Arial" w:eastAsia="Times New Roman" w:hAnsi="Arial"/>
    </w:rPr>
  </w:style>
  <w:style w:type="numbering" w:styleId="LFO12" w:customStyle="1">
    <w:name w:val="LFO12"/>
    <w:basedOn w:val="NoList"/>
    <w:pPr>
      <w:numPr>
        <w:numId w:val="2"/>
      </w:numPr>
    </w:p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7555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beressentials.ncsc.gov.u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PIXrEDjcMObgEcCK1wrnv8PvA==">AMUW2mUZjMJPPqiwT1Zl2RuXADuveDAhKfop1idvqHs9l6PjfknB543BbsYgGyv8KeSnY2wMRkz9CLIpa/4zds5hfpDU+rpSfNOwthZ29gKwOST2lZtIXH5VLP4uUY1KL9UqfpenZ+srNTBd9bvB/XP95MvNMC4+sKOxS8ENaM6f5O9CzkzLFkM=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