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5 (Management Charges and Information)</w:t>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to provide management information to CCS</w:t>
      </w:r>
    </w:p>
    <w:p w:rsidR="00000000" w:rsidDel="00000000" w:rsidP="00000000" w:rsidRDefault="00000000" w:rsidRPr="00000000" w14:paraId="0000000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no charge, provide timely, full, accurate and complete MI Reports to CCS which incorporate the data, in the correct format, required by the MI Reporting Template and such guidance that CCS may issue from time to time.  </w:t>
      </w:r>
    </w:p>
    <w:p w:rsidR="00000000" w:rsidDel="00000000" w:rsidP="00000000" w:rsidRDefault="00000000" w:rsidRPr="00000000" w14:paraId="000000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Reporting Template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   Reporting period</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993"/>
        </w:tabs>
        <w:spacing w:after="240" w:before="120" w:line="240" w:lineRule="auto"/>
        <w:ind w:left="993"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93" w:right="0" w:hanging="63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tab/>
        <w:t xml:space="preserve">In an MI Report, the Supplier should report contract data that is one month in arrears. For example, if an invoice is raised for October but the work was actually completed in September, the Supplier must report the invoice in October's MI Report and not September's.  Each Order received by the Supplier must be reported only once, i.e. when the Order is received.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Submitting the information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shall be completed electronically and uploaded to the CCS data submission service available at: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https://www.reportmi.crowncommercial.gov.uk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 Reports must be completed in pounds sterling unless CCS has given prior written consent to the use of another currency.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reasonably require that MI Reports be submitted by an alternative means such as email.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requested by CCS, the Supplier shall provide Management Information to a Buyer as specified by CCS.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3.5.1 promptly after the Framework Start Date provide an e-mail and/or postal address to which CCS will send invoices for the Management Charge and monthly statements relating to the invoicing of the Management Charge;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3.5.2 promptly after the Framework Start Date provide at least one contact name and contact details for the purposes of queries relating to either Management Information or invoicing; and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3.5.3 immediately notify CCS of any changes to the details previously provided to CCS under this Paragraph 3.5.</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can use the Management Information</w:t>
      </w:r>
    </w:p>
    <w:p w:rsidR="00000000" w:rsidDel="00000000" w:rsidP="00000000" w:rsidRDefault="00000000" w:rsidRPr="00000000" w14:paraId="00000016">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grants CCS a non-exclusive, transferable, perpetual, irrevocable, royalty free licence to: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and to share with any Buyer, Other Contracting Authority and Central Government Bodies; and/or</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 (subject to any information that is exempt from disclosure in accordance with the provisions of FOIA, being redacted),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Management Information supplied to CCS for CCS’ normal operational activities including administering this Contract and/or all Call-Off Contracts, monitoring public sector expenditure, identifying savings or potential savings and planning future procurement activity.</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consult with the Supplier to inform its decision to publish information. However, CCS shall retain absolute discretion regarding the extent, content and format of any disclosure.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completed MI Report, CCS shall invoice the Supplier for the Management Charge payable for the Month to which the MI report relates.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Paying the Management Charge</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excludes VAT which is payable on provision of a valid VAT invoice.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pay CCS the Management Charge (and other charges payable in accordance with this Schedule) in cleared funds within 30 days of receipt by the Supplier of an undisputed invoice to such bank or building society account set out in the invoice.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Charge is not paid</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240" w:before="120" w:line="240" w:lineRule="auto"/>
        <w:ind w:left="993" w:right="0" w:hanging="567"/>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of undisputed and valid CCS invoices should be completed within thirty (30) days. CCS may take action on outstanding invoices by: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6.1.1</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issuing the supplier with reminders that an invoice payment is due and/or overdue;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701" w:right="0" w:hanging="73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6.1.2</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charging statutory interest and charges on overdue invoices, as per the Late Payment of Commercial Debts (Interest) Act 1998;</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1693" w:right="0" w:hanging="70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6.1.3</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suspending the supplier from the agreement until such time that overdue invoices are paid; and/or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 w:val="left" w:pos="1701"/>
        </w:tabs>
        <w:spacing w:after="240" w:before="120" w:line="240" w:lineRule="auto"/>
        <w:ind w:left="851" w:right="0" w:firstLine="142.0000000000000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6.1.4 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terminating this Contract.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284"/>
          <w:tab w:val="left" w:pos="993"/>
        </w:tabs>
        <w:spacing w:after="120" w:before="120" w:line="240" w:lineRule="auto"/>
        <w:ind w:left="786"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the Management Information is wrong?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may issue reminders to the Supplier and require the Supplier to correctly complete the MI Report.  The Supplier shall rectify any deficient or incomplete MI Report as soon as possible and not more than five (5) Working Days following receipt of any such reminder.</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attend meetings between the Parties in person to discuss the circumstances of any MI Failure(s) at the request of CCS.  If CCS requests such a meeting the Supplier shall propose and document measures as part of a Rectification Plan to ensure that the MI Failure(s) are corrected and do not occur in the future.</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7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fees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in any rolling three (3) Month period, two (2) or more MI Failures occur, the Supplier acknowledges and agrees that CCS shall have the right to invoice the Supplier Admin Fee(s) with respect to any MI Failures as they arise in subsequent Months.</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the Admin Fees are a fair reflection of the additional costs incurred by CCS as a result of the Supplier failing to provide Management Information as required by this Contract.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happens if Management Information Reports are not provided?</w:t>
      </w:r>
    </w:p>
    <w:p w:rsidR="00000000" w:rsidDel="00000000" w:rsidP="00000000" w:rsidRDefault="00000000" w:rsidRPr="00000000" w14:paraId="00000032">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two (2) MI Reports are not provided in any rolling six (6) month period then 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deemed to have occurred and CCS shall be entitled to:</w:t>
      </w:r>
    </w:p>
    <w:p w:rsidR="00000000" w:rsidDel="00000000" w:rsidP="00000000" w:rsidRDefault="00000000" w:rsidRPr="00000000" w14:paraId="000000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 and the Supplier shall pay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 Management Charge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respect of the Months in which the MI Default occurred and subsequent Months in which they continue, calculated in accordance with Paragraph 8.2.1 and/or </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suspend the Supplier from the agreement until such time that deficient MI reports(s) are rectified; and/or</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terminate this Contract.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Default Management Charge shall be the higher of:</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sum of five hundred pounds (£500).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8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provides sufficient Management Information to rectify any MI Default(s) to the satisfaction of CCS and the Management Information demonstrates that:</w:t>
      </w:r>
    </w:p>
    <w:p w:rsidR="00000000" w:rsidDel="00000000" w:rsidP="00000000" w:rsidRDefault="00000000" w:rsidRPr="00000000" w14:paraId="000000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overpaid the Management Charge as a result of the application of the Default Management Charge then the Supplier shall be entitled to a refund of the overpayment, net of any Admin Fees where applicable; or</w:t>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underpaid the Management Charge during the period when a Default Management Charge was applied, then CCS shall be entitled to immediate payment of the balance as a debt together with interest.</w:t>
      </w:r>
    </w:p>
    <w:p w:rsidR="00000000" w:rsidDel="00000000" w:rsidP="00000000" w:rsidRDefault="00000000" w:rsidRPr="00000000" w14:paraId="0000003E">
      <w:pPr>
        <w:spacing w:after="200" w:line="276"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MI Reporting Template</w:t>
      </w:r>
    </w:p>
    <w:p w:rsidR="00000000" w:rsidDel="00000000" w:rsidP="00000000" w:rsidRDefault="00000000" w:rsidRPr="00000000" w14:paraId="00000040">
      <w:pPr>
        <w:jc w:val="left"/>
        <w:rPr>
          <w:rFonts w:ascii="Arial" w:cs="Arial" w:eastAsia="Arial" w:hAnsi="Arial"/>
        </w:rPr>
      </w:pPr>
      <w:r w:rsidDel="00000000" w:rsidR="00000000" w:rsidRPr="00000000">
        <w:rPr>
          <w:rFonts w:ascii="Arial" w:cs="Arial" w:eastAsia="Arial" w:hAnsi="Arial"/>
          <w:rtl w:val="0"/>
        </w:rPr>
        <w:t xml:space="preserve">The MI Collection team in Data Insights create MI Templates. The MI Reporting template is embedded below. </w:t>
      </w:r>
    </w:p>
    <w:p w:rsidR="00000000" w:rsidDel="00000000" w:rsidP="00000000" w:rsidRDefault="00000000" w:rsidRPr="00000000" w14:paraId="00000041">
      <w:pPr>
        <w:jc w:val="left"/>
        <w:rPr>
          <w:rFonts w:ascii="Arial" w:cs="Arial" w:eastAsia="Arial" w:hAnsi="Arial"/>
        </w:rPr>
      </w:pPr>
      <w:r w:rsidDel="00000000" w:rsidR="00000000" w:rsidRPr="00000000">
        <w:rPr>
          <w:rFonts w:ascii="Arial" w:cs="Arial" w:eastAsia="Arial" w:hAnsi="Arial"/>
          <w:rtl w:val="0"/>
        </w:rPr>
        <w:t xml:space="preserve">Contact: </w:t>
      </w:r>
    </w:p>
    <w:p w:rsidR="00000000" w:rsidDel="00000000" w:rsidP="00000000" w:rsidRDefault="00000000" w:rsidRPr="00000000" w14:paraId="00000042">
      <w:pPr>
        <w:shd w:fill="ffffff" w:val="clear"/>
        <w:rPr>
          <w:rFonts w:ascii="Arial" w:cs="Arial" w:eastAsia="Arial" w:hAnsi="Arial"/>
          <w:color w:val="222222"/>
          <w:sz w:val="24"/>
          <w:szCs w:val="24"/>
        </w:rPr>
      </w:pPr>
      <w:hyperlink r:id="rId10">
        <w:r w:rsidDel="00000000" w:rsidR="00000000" w:rsidRPr="00000000">
          <w:rPr>
            <w:rFonts w:ascii="Arial" w:cs="Arial" w:eastAsia="Arial" w:hAnsi="Arial"/>
            <w:color w:val="1155cc"/>
            <w:sz w:val="24"/>
            <w:szCs w:val="24"/>
            <w:u w:val="single"/>
            <w:rtl w:val="0"/>
          </w:rPr>
          <w:t xml:space="preserve">https://www.reportmi.crowncommercial.gov.uk/</w:t>
        </w:r>
      </w:hyperlink>
      <w:r w:rsidDel="00000000" w:rsidR="00000000" w:rsidRPr="00000000">
        <w:rPr>
          <w:rtl w:val="0"/>
        </w:rPr>
      </w:r>
    </w:p>
    <w:p w:rsidR="00000000" w:rsidDel="00000000" w:rsidP="00000000" w:rsidRDefault="00000000" w:rsidRPr="00000000" w14:paraId="0000004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4">
      <w:pPr>
        <w:jc w:val="left"/>
        <w:rPr>
          <w:rFonts w:ascii="Arial" w:cs="Arial" w:eastAsia="Arial" w:hAnsi="Arial"/>
        </w:rPr>
      </w:pPr>
      <w:bookmarkStart w:colFirst="0" w:colLast="0" w:name="_heading=h.4d34og8" w:id="8"/>
      <w:bookmarkEnd w:id="8"/>
      <w:r w:rsidDel="00000000" w:rsidR="00000000" w:rsidRPr="00000000">
        <w:rPr>
          <w:rFonts w:ascii="Arial" w:cs="Arial" w:eastAsia="Arial" w:hAnsi="Arial"/>
        </w:rPr>
        <w:pict>
          <v:shape id="_x0000_i1027" style="width:75.5pt;height:49pt" o:ole="" type="#_x0000_t75">
            <v:imagedata r:id="rId1" o:title=""/>
          </v:shape>
          <o:OLEObject DrawAspect="Icon" r:id="rId2" ObjectID="_1696398095" ProgID="Excel.Sheet.12" ShapeID="_x0000_i1027" Type="Embed"/>
        </w:pict>
      </w:r>
      <w:r w:rsidDel="00000000" w:rsidR="00000000" w:rsidRPr="00000000">
        <w:rPr>
          <w:rtl w:val="0"/>
        </w:rPr>
      </w:r>
    </w:p>
    <w:p w:rsidR="00000000" w:rsidDel="00000000" w:rsidP="00000000" w:rsidRDefault="00000000" w:rsidRPr="00000000" w14:paraId="00000045">
      <w:pPr>
        <w:jc w:val="left"/>
        <w:rPr>
          <w:rFonts w:ascii="Arial" w:cs="Arial" w:eastAsia="Arial" w:hAnsi="Arial"/>
        </w:rPr>
      </w:pPr>
      <w:r w:rsidDel="00000000" w:rsidR="00000000" w:rsidRPr="00000000">
        <w:rPr>
          <w:rtl w:val="0"/>
        </w:rPr>
      </w:r>
    </w:p>
    <w:p w:rsidR="00000000" w:rsidDel="00000000" w:rsidP="00000000" w:rsidRDefault="00000000" w:rsidRPr="00000000" w14:paraId="00000046">
      <w:pPr>
        <w:jc w:val="left"/>
        <w:rPr>
          <w:rFonts w:ascii="Arial" w:cs="Arial" w:eastAsia="Arial" w:hAnsi="Arial"/>
        </w:rPr>
      </w:pPr>
      <w:r w:rsidDel="00000000" w:rsidR="00000000" w:rsidRPr="00000000">
        <w:rPr>
          <w:rtl w:val="0"/>
        </w:rPr>
      </w:r>
    </w:p>
    <w:p w:rsidR="00000000" w:rsidDel="00000000" w:rsidP="00000000" w:rsidRDefault="00000000" w:rsidRPr="00000000" w14:paraId="00000047">
      <w:pPr>
        <w:jc w:val="left"/>
        <w:rPr>
          <w:rFonts w:ascii="Arial" w:cs="Arial" w:eastAsia="Arial" w:hAnsi="Arial"/>
        </w:rPr>
      </w:pPr>
      <w:r w:rsidDel="00000000" w:rsidR="00000000" w:rsidRPr="00000000">
        <w:rPr>
          <w:rtl w:val="0"/>
        </w:rPr>
      </w:r>
    </w:p>
    <w:p w:rsidR="00000000" w:rsidDel="00000000" w:rsidP="00000000" w:rsidRDefault="00000000" w:rsidRPr="00000000" w14:paraId="00000048">
      <w:pPr>
        <w:jc w:val="left"/>
        <w:rPr>
          <w:rFonts w:ascii="Arial" w:cs="Arial" w:eastAsia="Arial" w:hAnsi="Arial"/>
        </w:rPr>
      </w:pPr>
      <w:r w:rsidDel="00000000" w:rsidR="00000000" w:rsidRPr="00000000">
        <w:rPr>
          <w:rtl w:val="0"/>
        </w:rPr>
      </w:r>
    </w:p>
    <w:p w:rsidR="00000000" w:rsidDel="00000000" w:rsidP="00000000" w:rsidRDefault="00000000" w:rsidRPr="00000000" w14:paraId="00000049">
      <w:pPr>
        <w:jc w:val="left"/>
        <w:rPr>
          <w:rFonts w:ascii="Arial" w:cs="Arial" w:eastAsia="Arial" w:hAnsi="Arial"/>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left"/>
        <w:rPr>
          <w:rFonts w:ascii="Arial" w:cs="Arial" w:eastAsia="Arial" w:hAnsi="Arial"/>
        </w:rPr>
      </w:pPr>
      <w:r w:rsidDel="00000000" w:rsidR="00000000" w:rsidRPr="00000000">
        <w:rPr>
          <w:rtl w:val="0"/>
        </w:rPr>
      </w:r>
    </w:p>
    <w:sectPr>
      <w:headerReference r:id="rId11" w:type="default"/>
      <w:headerReference r:id="rId12" w:type="first"/>
      <w:footerReference r:id="rId13"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RM6263</w:t>
    </w:r>
  </w:p>
  <w:p w:rsidR="00000000" w:rsidDel="00000000" w:rsidP="00000000" w:rsidRDefault="00000000" w:rsidRPr="00000000" w14:paraId="0000005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v3.5</w:t>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bfbfbf"/>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5 (Management Charges and Information)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7"/>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86" w:hanging="360.00000000000006"/>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ind w:left="644"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rsid w:val="00A551F7"/>
    <w:pPr>
      <w:ind w:left="360" w:hanging="360"/>
      <w:outlineLvl w:val="9"/>
    </w:pPr>
    <w:rPr>
      <w:caps w:val="0"/>
    </w:r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786"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2non-numberboldheading" w:customStyle="1">
    <w:name w:val="GPS L2 non-number bold heading"/>
    <w:basedOn w:val="GPSL2NumberedBoldHeading"/>
    <w:link w:val="GPSL2non-numberboldheadingChar"/>
    <w:qFormat w:val="1"/>
    <w:pPr>
      <w:numPr>
        <w:ilvl w:val="0"/>
        <w:numId w:val="0"/>
      </w:numPr>
      <w:ind w:left="1134"/>
    </w:pPr>
  </w:style>
  <w:style w:type="character" w:styleId="GPSL2non-numberboldheadingChar" w:customStyle="1">
    <w:name w:val="GPS L2 non-number bold heading Char"/>
    <w:link w:val="GPSL2non-numberboldheading"/>
    <w:locked w:val="1"/>
    <w:rPr>
      <w:rFonts w:ascii="Calibri" w:cs="Arial" w:eastAsia="Times New Roman" w:hAnsi="Calibri"/>
      <w:b w:val="1"/>
      <w:lang w:eastAsia="zh-CN"/>
    </w:rPr>
  </w:style>
  <w:style w:type="character" w:styleId="GPSL1SCHEDULEHeadingChar" w:customStyle="1">
    <w:name w:val="GPS L1 SCHEDULE Heading Char"/>
    <w:link w:val="GPSL1SCHEDULEHeading"/>
    <w:locked w:val="1"/>
    <w:rsid w:val="00A551F7"/>
    <w:rPr>
      <w:rFonts w:ascii="Calibri" w:cs="Arial" w:eastAsia="STZhongsong" w:hAnsi="Calibri"/>
      <w:b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L2IndentChar" w:customStyle="1">
    <w:name w:val="GPS L2 Indent Char"/>
    <w:link w:val="GPSL2Indent"/>
    <w:rPr>
      <w:rFonts w:ascii="Calibri" w:cs="Arial" w:eastAsia="Times New Roman" w:hAnsi="Calibri"/>
      <w:szCs w:val="24"/>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character" w:styleId="GPSL3IndentChar" w:customStyle="1">
    <w:name w:val="GPS L3 Indent Char"/>
    <w:link w:val="GPSL3Indent"/>
    <w:locked w:val="1"/>
    <w:rPr>
      <w:rFonts w:ascii="Calibri" w:cs="Arial" w:eastAsia="Times New Roman" w:hAnsi="Calibri"/>
      <w:lang w:eastAsia="zh-CN" w:val="en-US"/>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character" w:styleId="Hyperlink">
    <w:name w:val="Hyperlink"/>
    <w:basedOn w:val="DefaultParagraphFont"/>
    <w:uiPriority w:val="99"/>
    <w:unhideWhenUsed w:val="1"/>
    <w:rsid w:val="00261988"/>
    <w:rPr>
      <w:color w:val="0000ff" w:themeColor="hyperlink"/>
      <w:u w:val="single"/>
    </w:rPr>
  </w:style>
  <w:style w:type="paragraph" w:styleId="m4005008707492704147m2318552415162592440m-4617050273339914792gmail-gpsl1scheduleheading" w:customStyle="1">
    <w:name w:val="m_4005008707492704147m_2318552415162592440m_-4617050273339914792gmail-gpsl1scheduleheading"/>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m4005008707492704147m2318552415162592440m-4617050273339914792gmail-gpsl2numbered" w:customStyle="1">
    <w:name w:val="m_4005008707492704147m_2318552415162592440m_-4617050273339914792gmail-gpsl2numbered"/>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character" w:styleId="apple-converted-space" w:customStyle="1">
    <w:name w:val="apple-converted-space"/>
    <w:basedOn w:val="DefaultParagraphFont"/>
    <w:rsid w:val="00EA0F28"/>
  </w:style>
  <w:style w:type="paragraph" w:styleId="m4005008707492704147m2318552415162592440m-4617050273339914792gmail-gpsl3numberedclause" w:customStyle="1">
    <w:name w:val="m_4005008707492704147m_2318552415162592440m_-4617050273339914792gmail-gpsl3numberedclause"/>
    <w:basedOn w:val="Normal"/>
    <w:rsid w:val="00EA0F28"/>
    <w:pPr>
      <w:overflowPunct w:val="1"/>
      <w:autoSpaceDE w:val="1"/>
      <w:autoSpaceDN w:val="1"/>
      <w:adjustRightInd w:val="1"/>
      <w:spacing w:after="100" w:afterAutospacing="1" w:before="100" w:beforeAutospacing="1"/>
      <w:jc w:val="left"/>
      <w:textAlignment w:val="auto"/>
    </w:pPr>
    <w:rPr>
      <w:rFonts w:ascii="Times" w:hAnsi="Times" w:cstheme="minorBidi" w:eastAsia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reportmi.crowncommercial.gov.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portmi.crowncommercial.gov.uk"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Y6r1gZYJiE0XWgd7XkWLAUX5g==">AMUW2mUuWW6i6uUvSItzBIUb8X0wPPjNd4e8WepLrwSPho+vj8NgHbD6bTZJ/d8NG13JRlJyPciTlEevPJpys6K0XHnNpYzdoBjHxAeNe59lx0AYPj0l09j1ruI0pto6mgBd2Vl5yc4Km34nSLIPmrFKDgqA1oB23puJWP6AeBEh8BQ/6TxQL63f45YbCqXIJdNLqJ0X/syZkglTu1eJcq/6yLfUVEOAcGUFKGRMEFUE8Xauo9GyRSg=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2020-09-17T15:28:00Z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