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3 (Continuous Improvement) </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the Buyer may give CCS the right to enforce the Buyer's rights under this Schedule.</w:t>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Order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1">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3 (Continuous Improvement)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nqc+AMpTV/jN/n/Xhv4zipLsg==">AMUW2mWc55p2WMxf2HsBk+cXpd25bYqZINg7h3uV/0UBMH1E0kmPlZHNl6Z7T/5YxE933EYS3maf5Z8dOFB6t6IcHoOlH+2T7DPaEA3zlKa1pyfiFV63VMYovKf1rPpSBFq4U++jfrVRLjqlM2f99LNN16vSHtE1Ol0UGK1gikc539FEVBjCtPfYZ7Eb8Z5BLtQWKSxhPv84OIJjvRwUEffLx8nxXmiCIg==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