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0" w:firstLine="0"/>
        <w:jc w:val="left"/>
        <w:rPr>
          <w:b w:val="1"/>
          <w:color w:val="000000"/>
          <w:sz w:val="32"/>
          <w:szCs w:val="32"/>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ind w:left="0" w:firstLine="0"/>
        <w:jc w:val="left"/>
        <w:rPr>
          <w:b w:val="1"/>
          <w:color w:val="000000"/>
          <w:sz w:val="36"/>
          <w:szCs w:val="36"/>
        </w:rPr>
      </w:pPr>
      <w:r w:rsidDel="00000000" w:rsidR="00000000" w:rsidRPr="00000000">
        <w:rPr>
          <w:b w:val="1"/>
          <w:color w:val="000000"/>
          <w:sz w:val="36"/>
          <w:szCs w:val="36"/>
          <w:rtl w:val="0"/>
        </w:rPr>
        <w:t xml:space="preserve">Order Schedule 8 (Business Continuity and Disaster Recovery)</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bookmarkStart w:colFirst="0" w:colLast="0" w:name="_heading=h.gjdgxs" w:id="0"/>
      <w:bookmarkEnd w:id="0"/>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17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0"/>
        <w:gridCol w:w="6122"/>
        <w:tblGridChange w:id="0">
          <w:tblGrid>
            <w:gridCol w:w="2050"/>
            <w:gridCol w:w="6122"/>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“Annual Revenue”</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before="10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figures for accounting periods of other than 12 months should be scaled pro rata to produce a proforma figure for a 12 month period; and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the Supplier Group and/or their joint ventures and Associates report in a foreign currency, revenue should be converted to British Pound Sterling at the closing exchange rate on the Accounting Reference Date;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“Appropriate Authority” or “Appropriate Authorities”</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Buyer and the Cabinet Office Markets and Suppliers Team or, where the Supplier is a Strategic Supplier, the Cabinet Office Markets and Suppliers Team;</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“Associates”</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"BCDR Plan"</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2.2 of this Schedule;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"Business Continuity Plan"</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2.3.2 of this Schedule;</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“Class 1 Transaction”</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set out in the listing rules issued by the UK Listing Authority;</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possession by a person, directly or indirectly, of the power to direct or cause the direction of the management and policies of the other person (whether through the ownership of voting shares, by contract or otherwise) and “</w:t>
            </w:r>
            <w:r w:rsidDel="00000000" w:rsidR="00000000" w:rsidRPr="00000000">
              <w:rPr>
                <w:rFonts w:ascii="Arial" w:cs="Arial" w:eastAsia="Arial" w:hAnsi="Arial"/>
                <w:b w:val="1"/>
                <w:color w:val="000000"/>
                <w:sz w:val="24"/>
                <w:szCs w:val="24"/>
                <w:rtl w:val="0"/>
              </w:rPr>
              <w:t xml:space="preserve">Controls</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“Corporate Change Event”</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before="10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w:t>
            </w:r>
          </w:p>
          <w:p w:rsidR="00000000" w:rsidDel="00000000" w:rsidP="00000000" w:rsidRDefault="00000000" w:rsidRPr="00000000" w14:paraId="00000017">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of Control of the Supplier or a Parent Undertaking of the Supplier;</w:t>
            </w:r>
          </w:p>
          <w:p w:rsidR="00000000" w:rsidDel="00000000" w:rsidP="00000000" w:rsidRDefault="00000000" w:rsidRPr="00000000" w14:paraId="00000018">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of Control of any member of the Supplier Group which, in the reasonable opinion of the Buyer, could have a material adverse effect on the Deliverables; </w:t>
            </w:r>
          </w:p>
          <w:p w:rsidR="00000000" w:rsidDel="00000000" w:rsidP="00000000" w:rsidRDefault="00000000" w:rsidRPr="00000000" w14:paraId="00000019">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the business of the Supplier or any member of the Supplier Group which, in the reasonable opinion of the Buyer, could have a material adverse effect on the Deliverables;</w:t>
            </w:r>
          </w:p>
          <w:p w:rsidR="00000000" w:rsidDel="00000000" w:rsidP="00000000" w:rsidRDefault="00000000" w:rsidRPr="00000000" w14:paraId="0000001A">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Class 1 Transaction taking place in relation to the shares of the Supplier or any Parent Undertaking of the Supplier whose shares are listed on the main market of the London Stock Exchange plc;</w:t>
            </w:r>
          </w:p>
          <w:p w:rsidR="00000000" w:rsidDel="00000000" w:rsidP="00000000" w:rsidRDefault="00000000" w:rsidRPr="00000000" w14:paraId="0000001B">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that could reasonably be regarded as being equivalent to a Class 1 Transaction taking place in respect of the Supplier or any Parent Undertaking of the Supplier;</w:t>
            </w:r>
          </w:p>
          <w:p w:rsidR="00000000" w:rsidDel="00000000" w:rsidP="00000000" w:rsidRDefault="00000000" w:rsidRPr="00000000" w14:paraId="0000001C">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of dividends by the Supplier or the ultimate Parent Undertaking of the Supplier Group exceeding 25% of the Net Asset Value of the Supplier or the ultimate Parent Undertaking of the Supplier Group respectively in any 12 month period;</w:t>
            </w:r>
          </w:p>
          <w:p w:rsidR="00000000" w:rsidDel="00000000" w:rsidP="00000000" w:rsidRDefault="00000000" w:rsidRPr="00000000" w14:paraId="0000001D">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order is made or an effective resolution is passed for the winding up of any member of the Supplier Group; </w:t>
            </w:r>
          </w:p>
          <w:p w:rsidR="00000000" w:rsidDel="00000000" w:rsidP="00000000" w:rsidRDefault="00000000" w:rsidRPr="00000000" w14:paraId="0000001E">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member of the Supplier Group stopping payment of its debts generally or becoming unable to pay its debts within the meaning of section 123(1) of the Insolvency Act 1986 or any member of the Supplier Group ceasing to carry on all or substantially all its business, or any compromise, composition, arrangement or agreement being made with creditors of any member of the Supplier Group;</w:t>
            </w:r>
          </w:p>
          <w:p w:rsidR="00000000" w:rsidDel="00000000" w:rsidP="00000000" w:rsidRDefault="00000000" w:rsidRPr="00000000" w14:paraId="0000001F">
            <w:pPr>
              <w:numPr>
                <w:ilvl w:val="3"/>
                <w:numId w:val="2"/>
              </w:numPr>
              <w:pBdr>
                <w:top w:space="0" w:sz="0" w:val="nil"/>
                <w:left w:space="0" w:sz="0" w:val="nil"/>
                <w:bottom w:space="0" w:sz="0" w:val="nil"/>
                <w:right w:space="0" w:sz="0" w:val="nil"/>
                <w:between w:space="0" w:sz="0" w:val="nil"/>
              </w:pBdr>
              <w:tabs>
                <w:tab w:val="left" w:pos="144"/>
              </w:tabs>
              <w:spacing w:after="12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appointment of a receiver, administrative receiver or administrator in respect of or over all or a material part of the undertaking or assets of any member of the Supplier Group; and/or</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
              </w:tabs>
              <w:spacing w:after="120" w:lineRule="auto"/>
              <w:ind w:left="0" w:firstLine="0"/>
              <w:rPr>
                <w:rFonts w:ascii="Arial" w:cs="Arial" w:eastAsia="Arial" w:hAnsi="Arial"/>
              </w:rPr>
            </w:pPr>
            <w:r w:rsidDel="00000000" w:rsidR="00000000" w:rsidRPr="00000000">
              <w:rPr>
                <w:rFonts w:ascii="Arial" w:cs="Arial" w:eastAsia="Arial" w:hAnsi="Arial"/>
                <w:color w:val="000000"/>
                <w:sz w:val="24"/>
                <w:szCs w:val="24"/>
                <w:rtl w:val="0"/>
              </w:rPr>
              <w:t xml:space="preserve">any process or events with an effect analogous to those in paragraphs (e) to (g) inclusive above occurring to a member of the Supplier Group in a jurisdiction outside England and Wales;</w:t>
            </w:r>
            <w:r w:rsidDel="00000000" w:rsidR="00000000" w:rsidRPr="00000000">
              <w:rPr>
                <w:rtl w:val="0"/>
              </w:rPr>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“Critical National Infrastructure”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before="10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critical elements of UK national infrastructure (namely assets, facilities, systems, networks or processes and the essential workers that operate and facilitate them), the loss or compromise of which could result in:</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major detrimental impact on the availability, integrity or delivery of essential services – including those services whose integrity, if compromised, could result in significant loss of life or casualties – taking into account significant economic or social impacts; and/or</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significant impact on the national security, national defence, or the functioning of the UK;</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“Critical Service Contract”</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service contract which the Buyer has categorised as a Gold Contract using the Cabinet Office Contract Tiering Tool or which the Buyer otherwise considers should be classed as a Critical Service Contract;</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“CRP Information”</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before="10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together, the: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before="10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Group Structure Information and Resolution Commentary; and</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UK Public Sector and CNI Contract Information;</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“Dependent Parent Undertaking”</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the Contract, including for the avoidance of doubt the provision of the Deliverables in accordance with the terms of the Contract;</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9"/>
              </w:tabs>
              <w:spacing w:after="120" w:lineRule="auto"/>
              <w:ind w:left="170" w:firstLine="0"/>
              <w:jc w:val="left"/>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"Disaster"</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occurrence of one or more events which, either separately or cumulatively, mean that the Deliverables, or a material part thereof will be unavailable (or could reasonably be anticipated to be unavailable);</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"Disaster Recovery Deliverables"</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9"/>
                <w:tab w:val="left" w:pos="-17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embodied in the processes and procedures for restoring the provision of Deliverables following the occurrence of a Disaster;</w:t>
            </w:r>
          </w:p>
        </w:tc>
      </w:tr>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"Disaster Recovery Plan"</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2.3.3 of this Schedule;</w:t>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"Disaster Recovery System"</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system embodied in the processes and procedures for restoring the provision of Deliverables following the occurrence of a Disaster;</w:t>
            </w:r>
          </w:p>
        </w:tc>
      </w:tr>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“Group Structure Information and Resolution Commentary”</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information relating to the Supplier Group to be provided by the Supplier in accordance with Paragraphs 2 to 4 and Appendix 1 to Part B;</w:t>
            </w:r>
          </w:p>
        </w:tc>
      </w:tr>
      <w:tr>
        <w:trPr>
          <w:cantSplit w:val="0"/>
          <w:trHeight w:val="567" w:hRule="atLeast"/>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“Parent Undertaking”</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set out in section 1162 of the Companies Act 2006;</w:t>
            </w:r>
          </w:p>
        </w:tc>
      </w:tr>
      <w:tr>
        <w:trPr>
          <w:cantSplit w:val="0"/>
          <w:trHeight w:val="567"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Sector Dependent Supplier”</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supplier where that supplier, or that supplier’s group has Annual Revenue of £50 million or more of which over 50% is generated from UK Public Sector Business;</w:t>
            </w:r>
          </w:p>
        </w:tc>
      </w:tr>
      <w:tr>
        <w:trPr>
          <w:cantSplit w:val="0"/>
          <w:trHeight w:val="567"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"Related Supplier"</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who provides Deliverables to the Buyer which are related to the Deliverables from time to time;</w:t>
            </w:r>
          </w:p>
        </w:tc>
      </w:tr>
      <w:tr>
        <w:trPr>
          <w:cantSplit w:val="0"/>
          <w:trHeight w:val="567"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"Review Report"</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6.3 of this Schedule; and</w:t>
            </w:r>
          </w:p>
        </w:tc>
      </w:tr>
      <w:tr>
        <w:trPr>
          <w:cantSplit w:val="0"/>
          <w:trHeight w:val="567"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“Strategic Supplier”</w:t>
            </w:r>
          </w:p>
        </w:tc>
        <w:tc>
          <w:tcPr/>
          <w:p w:rsidR="00000000" w:rsidDel="00000000" w:rsidP="00000000" w:rsidRDefault="00000000" w:rsidRPr="00000000" w14:paraId="00000042">
            <w:pPr>
              <w:ind w:lef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means those suppliers to government listed at</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https://www.gov.uk/government/publications/strategic-suppliers;</w:t>
            </w:r>
          </w:p>
        </w:tc>
      </w:tr>
      <w:tr>
        <w:trPr>
          <w:cantSplit w:val="0"/>
          <w:trHeight w:val="567" w:hRule="atLeast"/>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“Subsidiary Undertaking”</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set out in section 1162 of the Companies Act 2006;</w:t>
            </w:r>
          </w:p>
        </w:tc>
      </w:tr>
      <w:tr>
        <w:trPr>
          <w:cantSplit w:val="0"/>
          <w:trHeight w:val="567" w:hRule="atLeast"/>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Group”</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Supplier, its Dependent Parent Undertakings and all Subsidiary Undertakings and Associates of such Dependent Parent Undertakings;</w:t>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Proposals"</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6.3 of this Schedule;</w:t>
            </w:r>
          </w:p>
        </w:tc>
      </w:tr>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Public Sector Business”</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goods, service or works provision to UK public sector bodies, including Central Government Departments and their arm's length bodies and agencies, non-departmental public bodies, NHS bodies, local authorities, health bodies, police, fire and rescue, education bodies and devolved administrations; and</w:t>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Public Sector / CNI Contract Information”</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9"/>
              </w:tabs>
              <w:spacing w:after="120" w:lineRule="auto"/>
              <w:ind w:lef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information relating to the Supplier Group to be provided by the Supplier in accordance with Paragraphs 2 to 4 and Appendix 2 of Part B;</w:t>
            </w:r>
          </w:p>
        </w:tc>
      </w:tr>
    </w:tbl>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Part A: BCDR Plan</w:t>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1. BCDR Plan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ind w:left="936" w:hanging="576"/>
        <w:jc w:val="left"/>
        <w:rPr>
          <w:color w:val="000000"/>
          <w:sz w:val="24"/>
          <w:szCs w:val="24"/>
        </w:rPr>
      </w:pPr>
      <w:bookmarkStart w:colFirst="0" w:colLast="0" w:name="_heading=h.30j0zll" w:id="1"/>
      <w:bookmarkEnd w:id="1"/>
      <w:r w:rsidDel="00000000" w:rsidR="00000000" w:rsidRPr="00000000">
        <w:rPr>
          <w:color w:val="000000"/>
          <w:sz w:val="24"/>
          <w:szCs w:val="24"/>
          <w:rtl w:val="0"/>
        </w:rPr>
        <w:t xml:space="preserve">1.1 </w:t>
        <w:tab/>
        <w:t xml:space="preserve">The Buyer and the Supplier recognise that, where specified in DPS Schedule 4 (DPS Management), CCS shall have the right to enforce the Buyer's rights under this Schedule.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Rule="auto"/>
        <w:ind w:left="936" w:hanging="576"/>
        <w:jc w:val="left"/>
        <w:rPr>
          <w:color w:val="000000"/>
          <w:sz w:val="24"/>
          <w:szCs w:val="24"/>
        </w:rPr>
      </w:pPr>
      <w:r w:rsidDel="00000000" w:rsidR="00000000" w:rsidRPr="00000000">
        <w:rPr>
          <w:color w:val="000000"/>
          <w:sz w:val="24"/>
          <w:szCs w:val="24"/>
          <w:rtl w:val="0"/>
        </w:rPr>
        <w:t xml:space="preserve">1.2 </w:t>
        <w:tab/>
        <w:t xml:space="preserve">At least ninety (90) Working Days prior to the Start Date the Supplier shall prepare and deliver to the Buyer for the Buyer’s written approval a plan (a </w:t>
      </w:r>
      <w:r w:rsidDel="00000000" w:rsidR="00000000" w:rsidRPr="00000000">
        <w:rPr>
          <w:b w:val="1"/>
          <w:color w:val="000000"/>
          <w:sz w:val="24"/>
          <w:szCs w:val="24"/>
          <w:rtl w:val="0"/>
        </w:rPr>
        <w:t xml:space="preserve">“BCDR Plan”</w:t>
      </w:r>
      <w:r w:rsidDel="00000000" w:rsidR="00000000" w:rsidRPr="00000000">
        <w:rPr>
          <w:color w:val="000000"/>
          <w:sz w:val="24"/>
          <w:szCs w:val="24"/>
          <w:rtl w:val="0"/>
        </w:rPr>
        <w:t xml:space="preserve">), which shall detail the processes and arrangements that the Supplier shall follow to:</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1296"/>
        <w:jc w:val="left"/>
        <w:rPr>
          <w:color w:val="000000"/>
          <w:sz w:val="24"/>
          <w:szCs w:val="24"/>
        </w:rPr>
      </w:pPr>
      <w:r w:rsidDel="00000000" w:rsidR="00000000" w:rsidRPr="00000000">
        <w:rPr>
          <w:color w:val="000000"/>
          <w:sz w:val="24"/>
          <w:szCs w:val="24"/>
          <w:rtl w:val="0"/>
        </w:rPr>
        <w:t xml:space="preserve">1.2.1 </w:t>
        <w:tab/>
        <w:t xml:space="preserve">ensure continuity of the business processes and operations supported by the Services following any failure or disruption of any element of the Deliverables; and</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1296"/>
        <w:jc w:val="left"/>
        <w:rPr>
          <w:color w:val="000000"/>
          <w:sz w:val="24"/>
          <w:szCs w:val="24"/>
        </w:rPr>
      </w:pPr>
      <w:r w:rsidDel="00000000" w:rsidR="00000000" w:rsidRPr="00000000">
        <w:rPr>
          <w:color w:val="000000"/>
          <w:sz w:val="24"/>
          <w:szCs w:val="24"/>
          <w:rtl w:val="0"/>
        </w:rPr>
        <w:t xml:space="preserve">1.2.2 </w:t>
        <w:tab/>
        <w:t xml:space="preserve">the recovery of the Deliverables in the event of a Disaster </w:t>
      </w:r>
    </w:p>
    <w:p w:rsidR="00000000" w:rsidDel="00000000" w:rsidP="00000000" w:rsidRDefault="00000000" w:rsidRPr="00000000" w14:paraId="00000054">
      <w:pPr>
        <w:keepNext w:val="1"/>
        <w:pBdr>
          <w:top w:space="0" w:sz="0" w:val="nil"/>
          <w:left w:space="0" w:sz="0" w:val="nil"/>
          <w:bottom w:space="0" w:sz="0" w:val="nil"/>
          <w:right w:space="0" w:sz="0" w:val="nil"/>
          <w:between w:space="0" w:sz="0" w:val="nil"/>
        </w:pBdr>
        <w:spacing w:after="120" w:before="120" w:lineRule="auto"/>
        <w:ind w:left="936" w:hanging="576"/>
        <w:jc w:val="left"/>
        <w:rPr>
          <w:color w:val="000000"/>
          <w:sz w:val="24"/>
          <w:szCs w:val="24"/>
        </w:rPr>
      </w:pPr>
      <w:r w:rsidDel="00000000" w:rsidR="00000000" w:rsidRPr="00000000">
        <w:rPr>
          <w:color w:val="000000"/>
          <w:sz w:val="24"/>
          <w:szCs w:val="24"/>
          <w:rtl w:val="0"/>
        </w:rPr>
        <w:t xml:space="preserve">1.3 </w:t>
        <w:tab/>
        <w:t xml:space="preserve">The BCDR Plan shall be divided into four sections:</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1296"/>
        <w:jc w:val="left"/>
        <w:rPr>
          <w:color w:val="000000"/>
          <w:sz w:val="24"/>
          <w:szCs w:val="24"/>
        </w:rPr>
      </w:pPr>
      <w:bookmarkStart w:colFirst="0" w:colLast="0" w:name="_heading=h.1fob9te" w:id="2"/>
      <w:bookmarkEnd w:id="2"/>
      <w:r w:rsidDel="00000000" w:rsidR="00000000" w:rsidRPr="00000000">
        <w:rPr>
          <w:color w:val="000000"/>
          <w:sz w:val="24"/>
          <w:szCs w:val="24"/>
          <w:rtl w:val="0"/>
        </w:rPr>
        <w:t xml:space="preserve">1.3.1 </w:t>
        <w:tab/>
        <w:t xml:space="preserve">Section 1 which shall set out general principles applicable to the BCDR Plan;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1296"/>
        <w:jc w:val="left"/>
        <w:rPr>
          <w:color w:val="000000"/>
          <w:sz w:val="24"/>
          <w:szCs w:val="24"/>
        </w:rPr>
      </w:pPr>
      <w:bookmarkStart w:colFirst="0" w:colLast="0" w:name="_heading=h.3znysh7" w:id="3"/>
      <w:bookmarkEnd w:id="3"/>
      <w:r w:rsidDel="00000000" w:rsidR="00000000" w:rsidRPr="00000000">
        <w:rPr>
          <w:color w:val="000000"/>
          <w:sz w:val="24"/>
          <w:szCs w:val="24"/>
          <w:rtl w:val="0"/>
        </w:rPr>
        <w:t xml:space="preserve">1.3.2 </w:t>
        <w:tab/>
        <w:t xml:space="preserve">Section 2 which shall relate to business continuity (the </w:t>
      </w:r>
      <w:r w:rsidDel="00000000" w:rsidR="00000000" w:rsidRPr="00000000">
        <w:rPr>
          <w:b w:val="1"/>
          <w:color w:val="000000"/>
          <w:sz w:val="24"/>
          <w:szCs w:val="24"/>
          <w:rtl w:val="0"/>
        </w:rPr>
        <w:t xml:space="preserve">"Business Continuity Plan"</w:t>
      </w:r>
      <w:r w:rsidDel="00000000" w:rsidR="00000000" w:rsidRPr="00000000">
        <w:rPr>
          <w:color w:val="000000"/>
          <w:sz w:val="24"/>
          <w:szCs w:val="24"/>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1296"/>
        <w:jc w:val="left"/>
        <w:rPr>
          <w:color w:val="000000"/>
          <w:sz w:val="24"/>
          <w:szCs w:val="24"/>
        </w:rPr>
      </w:pPr>
      <w:bookmarkStart w:colFirst="0" w:colLast="0" w:name="_heading=h.2et92p0" w:id="4"/>
      <w:bookmarkEnd w:id="4"/>
      <w:r w:rsidDel="00000000" w:rsidR="00000000" w:rsidRPr="00000000">
        <w:rPr>
          <w:sz w:val="24"/>
          <w:szCs w:val="24"/>
          <w:rtl w:val="0"/>
        </w:rPr>
        <w:t xml:space="preserve">1.3.3 </w:t>
        <w:tab/>
        <w:t xml:space="preserve">Section</w:t>
      </w:r>
      <w:r w:rsidDel="00000000" w:rsidR="00000000" w:rsidRPr="00000000">
        <w:rPr>
          <w:color w:val="000000"/>
          <w:sz w:val="24"/>
          <w:szCs w:val="24"/>
          <w:rtl w:val="0"/>
        </w:rPr>
        <w:t xml:space="preserve"> 3 which shall relate to disaster recovery (the </w:t>
      </w:r>
      <w:r w:rsidDel="00000000" w:rsidR="00000000" w:rsidRPr="00000000">
        <w:rPr>
          <w:b w:val="1"/>
          <w:color w:val="000000"/>
          <w:sz w:val="24"/>
          <w:szCs w:val="24"/>
          <w:rtl w:val="0"/>
        </w:rPr>
        <w:t xml:space="preserve">"Disaster Recovery Plan"</w:t>
      </w:r>
      <w:r w:rsidDel="00000000" w:rsidR="00000000" w:rsidRPr="00000000">
        <w:rPr>
          <w:color w:val="000000"/>
          <w:sz w:val="24"/>
          <w:szCs w:val="24"/>
          <w:rtl w:val="0"/>
        </w:rPr>
        <w:t xml:space="preserve">); and</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1296"/>
        <w:jc w:val="left"/>
        <w:rPr>
          <w:sz w:val="24"/>
          <w:szCs w:val="24"/>
        </w:rPr>
      </w:pPr>
      <w:r w:rsidDel="00000000" w:rsidR="00000000" w:rsidRPr="00000000">
        <w:rPr>
          <w:color w:val="000000"/>
          <w:sz w:val="24"/>
          <w:szCs w:val="24"/>
          <w:rtl w:val="0"/>
        </w:rPr>
        <w:t xml:space="preserve">1.3.4 </w:t>
        <w:tab/>
        <w:t xml:space="preserve">Section 4 which shall relate to an Insolvency Event of the Supplier, and Key Subcontractors and/or any Supplier Group member (the </w:t>
      </w:r>
      <w:r w:rsidDel="00000000" w:rsidR="00000000" w:rsidRPr="00000000">
        <w:rPr>
          <w:b w:val="1"/>
          <w:color w:val="000000"/>
          <w:sz w:val="24"/>
          <w:szCs w:val="24"/>
          <w:rtl w:val="0"/>
        </w:rPr>
        <w:t xml:space="preserve">“Insolvency Continuity Plan”</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tyjcwt" w:id="5"/>
      <w:bookmarkEnd w:id="5"/>
      <w:r w:rsidDel="00000000" w:rsidR="00000000" w:rsidRPr="00000000">
        <w:rPr>
          <w:color w:val="000000"/>
          <w:sz w:val="24"/>
          <w:szCs w:val="24"/>
          <w:rtl w:val="0"/>
        </w:rPr>
        <w:t xml:space="preserve">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5A">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bookmarkStart w:colFirst="0" w:colLast="0" w:name="_heading=h.3dy6vkm" w:id="6"/>
      <w:bookmarkEnd w:id="6"/>
      <w:r w:rsidDel="00000000" w:rsidR="00000000" w:rsidRPr="00000000">
        <w:rPr>
          <w:rFonts w:ascii="Arial Bold" w:cs="Arial Bold" w:eastAsia="Arial Bold" w:hAnsi="Arial Bold"/>
          <w:b w:val="1"/>
          <w:color w:val="000000"/>
          <w:sz w:val="24"/>
          <w:szCs w:val="24"/>
          <w:rtl w:val="0"/>
        </w:rPr>
        <w:t xml:space="preserve">General Principles of the BCDR Plan (Section 1)</w:t>
      </w:r>
      <w:r w:rsidDel="00000000" w:rsidR="00000000" w:rsidRPr="00000000">
        <w:rPr>
          <w:rtl w:val="0"/>
        </w:rPr>
      </w:r>
    </w:p>
    <w:p w:rsidR="00000000" w:rsidDel="00000000" w:rsidP="00000000" w:rsidRDefault="00000000" w:rsidRPr="00000000" w14:paraId="0000005B">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Section 1 of the BCDR Plan shall:</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how the business continuity and disaster recovery elements of the BCDR Plan link to each other;</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an obligation upon the Supplier to liaise with the Buyer and any Related Suppliers with respect to business continuity and disaster recovery;</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 how the BCDR Plan interoperates with any overarching disaster recovery or business continuity plan of the Buyer and any of its other Related Supplier in each case as notified to the Supplier by the Buyer from time to time;</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61">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 risk analysis, including:</w:t>
      </w:r>
    </w:p>
    <w:p w:rsidR="00000000" w:rsidDel="00000000" w:rsidP="00000000" w:rsidRDefault="00000000" w:rsidRPr="00000000" w14:paraId="00000062">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failure or disruption scenarios and assessments of likely frequency of occurrence;</w:t>
      </w:r>
    </w:p>
    <w:p w:rsidR="00000000" w:rsidDel="00000000" w:rsidP="00000000" w:rsidRDefault="00000000" w:rsidRPr="00000000" w14:paraId="00000063">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identification of any single points of failure within the provision of Deliverables and processes for managing those risks;</w:t>
      </w:r>
    </w:p>
    <w:p w:rsidR="00000000" w:rsidDel="00000000" w:rsidP="00000000" w:rsidRDefault="00000000" w:rsidRPr="00000000" w14:paraId="00000064">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 business impact analysis of different anticipated failures or disruptions;</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for documentation of processes, including business processes, and procedures;</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key contact details for the Supplier (and any Subcontractors) and for the Buyer;</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identify the procedures for reverting to "normal service";</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identify the responsibilities (if any) that the Buyer has agreed it will assume in the event of the invocation of the BCDR Plan; </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how the business continuity and disaster recovery elements of the BCDR Plan link to the Insolvency Continuity Plan, and how the Insolvency Continuity Plan links to the business continuity and disaster recovery elements of the BCDR Plan;</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an obligation upon the Supplier to liaise with the Buyer and (at the Buyer’s request) any Related Supplier with respect to issues concerning insolvency continuity where applicable; and</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 how the BCDR Plan links and interoperates with any overarching and/or connected insolvency continuity plan of the Buyer and any of its other Related Suppliers in each case as notified to the Supplier by the Buyer from time to time.</w:t>
      </w:r>
    </w:p>
    <w:p w:rsidR="00000000" w:rsidDel="00000000" w:rsidP="00000000" w:rsidRDefault="00000000" w:rsidRPr="00000000" w14:paraId="0000006F">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designed so as to ensure that:</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Deliverables are provided in accordance with this Contract at all times during and after the invocation of the BCDR Plan;</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adverse impact of any Disaster is minimised as far as reasonably possible; </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it complies with the relevant provisions of ISO/IEC 27002; ISO22301/ISO22313   and all other industry standards from time to time in force; and</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it details a process for the management of disaster recovery testing.</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76">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Business Continuity (Section 2)</w:t>
      </w:r>
      <w:r w:rsidDel="00000000" w:rsidR="00000000" w:rsidRPr="00000000">
        <w:rPr>
          <w:rtl w:val="0"/>
        </w:rPr>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t3h5sf" w:id="7"/>
      <w:bookmarkEnd w:id="7"/>
      <w:r w:rsidDel="00000000" w:rsidR="00000000" w:rsidRPr="00000000">
        <w:rPr>
          <w:color w:val="000000"/>
          <w:sz w:val="24"/>
          <w:szCs w:val="24"/>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alternative processes, options and responsibilities that may be adopted in the event of a failure in or disruption to the provision of Deliverables; and</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steps to be taken by the Supplier upon resumption of the provision of Deliverables in order to address the effect of the failure or disruption.</w:t>
      </w:r>
    </w:p>
    <w:p w:rsidR="00000000" w:rsidDel="00000000" w:rsidP="00000000" w:rsidRDefault="00000000" w:rsidRPr="00000000" w14:paraId="0000007A">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Business Continuity Plan shall:</w:t>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address the various possible levels of failures of or disruptions to the provision of Deliverables;</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4d34og8" w:id="8"/>
      <w:bookmarkEnd w:id="8"/>
      <w:r w:rsidDel="00000000" w:rsidR="00000000" w:rsidRPr="00000000">
        <w:rPr>
          <w:color w:val="000000"/>
          <w:sz w:val="24"/>
          <w:szCs w:val="24"/>
          <w:rtl w:val="0"/>
        </w:rPr>
        <w:t xml:space="preserve">set out the goods and/or services to be provided and the steps to be taken to remedy the different levels of failures of and disruption to the Deliverables;</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the circumstances in which the Business Continuity Plan is invoked.</w:t>
      </w:r>
    </w:p>
    <w:p w:rsidR="00000000" w:rsidDel="00000000" w:rsidP="00000000" w:rsidRDefault="00000000" w:rsidRPr="00000000" w14:paraId="0000007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Disaster Recovery (Section 3)</w:t>
      </w: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2s8eyo1" w:id="9"/>
      <w:bookmarkEnd w:id="9"/>
      <w:r w:rsidDel="00000000" w:rsidR="00000000" w:rsidRPr="00000000">
        <w:rPr>
          <w:color w:val="000000"/>
          <w:sz w:val="24"/>
          <w:szCs w:val="24"/>
          <w:rtl w:val="0"/>
        </w:rPr>
        <w:t xml:space="preserve">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000000" w:rsidDel="00000000" w:rsidP="00000000" w:rsidRDefault="00000000" w:rsidRPr="00000000" w14:paraId="00000081">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Supplier's BCDR Plan shall include an approach to business continuity and disaster recovery that addresses the following:</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access to the Buyer Premises;</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utilities to the Buyer Premises;</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the Supplier's helpdesk or CAFM system;</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a Subcontractor;</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emergency notification and escalation process;</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contact lists;</w:t>
      </w:r>
    </w:p>
    <w:p w:rsidR="00000000" w:rsidDel="00000000" w:rsidP="00000000" w:rsidRDefault="00000000" w:rsidRPr="00000000" w14:paraId="0000008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staff training and awareness;</w:t>
      </w:r>
    </w:p>
    <w:p w:rsidR="00000000" w:rsidDel="00000000" w:rsidP="00000000" w:rsidRDefault="00000000" w:rsidRPr="00000000" w14:paraId="0000008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BCDR Plan testing; </w:t>
      </w:r>
    </w:p>
    <w:p w:rsidR="00000000" w:rsidDel="00000000" w:rsidP="00000000" w:rsidRDefault="00000000" w:rsidRPr="00000000" w14:paraId="0000008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post implementation review process; </w:t>
      </w:r>
    </w:p>
    <w:p w:rsidR="00000000" w:rsidDel="00000000" w:rsidP="00000000" w:rsidRDefault="00000000" w:rsidRPr="00000000" w14:paraId="0000008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access controls to any disaster recovery sites used by the Supplier in relation to its obligations pursuant to this Schedule; and</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testing and management arrangements.</w:t>
      </w:r>
    </w:p>
    <w:p w:rsidR="00000000" w:rsidDel="00000000" w:rsidP="00000000" w:rsidRDefault="00000000" w:rsidRPr="00000000" w14:paraId="0000008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Insolvency Continuity Plan (Section 4)</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Insolvency Continuity Plan shall be designed by the Supplier to permit continuity of the business operations of the Buyer supported by the Deliverables through continued provision of the Deliverables following an Insolvency Event of the Supplier, any Key Sub-contractor and/or any Supplier Group member with, as far as reasonably possible, minimal adverse impact.</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Insolvency Continuity Plan shall include the following:</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communication strategies which are designed to minimise the potential disruption to the provision of the Deliverables, including key contact details in respect of the supply chain and key contact details for operational and contract Supplier Staff, Key Subcontractor personnel and Supplier Group member personnel;</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identification, explanation, assessment and an impact analysis of risks in respect of dependencies between the Supplier, Key Subcontractors and Supplier Group members where failure of those dependencies could reasonably have an adverse impact on the Deliverables;</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plans to manage and mitigate identified risks;</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details of the roles and responsibilities of the Supplier, Key Subcontractors and/or Supplier Group members to minimise and mitigate the effects of an Insolvency Event of such persons on the Deliverables;</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details of the recovery team to be put in place by the Supplier (which may include representatives of the Supplier, Key Subcontractors and Supplier Group members); and</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smallCaps w:val="1"/>
          <w:color w:val="000000"/>
          <w:sz w:val="24"/>
          <w:szCs w:val="24"/>
        </w:rPr>
      </w:pPr>
      <w:r w:rsidDel="00000000" w:rsidR="00000000" w:rsidRPr="00000000">
        <w:rPr>
          <w:color w:val="000000"/>
          <w:sz w:val="24"/>
          <w:szCs w:val="24"/>
          <w:rtl w:val="0"/>
        </w:rPr>
        <w:t xml:space="preserve">sufficient detail to enable an appointed insolvency practitioner to invoke the plan in the event of an Insolvency Event of the Supplier.</w:t>
      </w:r>
      <w:r w:rsidDel="00000000" w:rsidR="00000000" w:rsidRPr="00000000">
        <w:rPr>
          <w:rtl w:val="0"/>
        </w:rPr>
      </w:r>
    </w:p>
    <w:p w:rsidR="00000000" w:rsidDel="00000000" w:rsidP="00000000" w:rsidRDefault="00000000" w:rsidRPr="00000000" w14:paraId="00000098">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Review and changing the BCDR Plan</w:t>
      </w:r>
      <w:r w:rsidDel="00000000" w:rsidR="00000000" w:rsidRPr="00000000">
        <w:rPr>
          <w:rtl w:val="0"/>
        </w:rPr>
      </w:r>
    </w:p>
    <w:p w:rsidR="00000000" w:rsidDel="00000000" w:rsidP="00000000" w:rsidRDefault="00000000" w:rsidRPr="00000000" w14:paraId="00000099">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7dp8vu" w:id="10"/>
      <w:bookmarkEnd w:id="10"/>
      <w:r w:rsidDel="00000000" w:rsidR="00000000" w:rsidRPr="00000000">
        <w:rPr>
          <w:color w:val="000000"/>
          <w:sz w:val="24"/>
          <w:szCs w:val="24"/>
          <w:rtl w:val="0"/>
        </w:rPr>
        <w:t xml:space="preserve">The Supplier shall review the BCDR Plan:</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3rdcrjn" w:id="11"/>
      <w:bookmarkEnd w:id="11"/>
      <w:r w:rsidDel="00000000" w:rsidR="00000000" w:rsidRPr="00000000">
        <w:rPr>
          <w:color w:val="000000"/>
          <w:sz w:val="24"/>
          <w:szCs w:val="24"/>
          <w:rtl w:val="0"/>
        </w:rPr>
        <w:t xml:space="preserve">on a regular basis and as a minimum once every six (6) Months;</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26in1rg" w:id="12"/>
      <w:bookmarkEnd w:id="12"/>
      <w:r w:rsidDel="00000000" w:rsidR="00000000" w:rsidRPr="00000000">
        <w:rPr>
          <w:color w:val="000000"/>
          <w:sz w:val="24"/>
          <w:szCs w:val="24"/>
          <w:rtl w:val="0"/>
        </w:rPr>
        <w:t xml:space="preserve">within three (3) calendar Months of the BCDR Plan (or any part) having been invoked pursuant to Paragraph 8; and</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bookmarkStart w:colFirst="0" w:colLast="0" w:name="_heading=h.lnxbz9" w:id="13"/>
      <w:bookmarkEnd w:id="13"/>
      <w:r w:rsidDel="00000000" w:rsidR="00000000" w:rsidRPr="00000000">
        <w:rPr>
          <w:color w:val="000000"/>
          <w:sz w:val="24"/>
          <w:szCs w:val="24"/>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5nkun2" w:id="14"/>
      <w:bookmarkEnd w:id="14"/>
      <w:r w:rsidDel="00000000" w:rsidR="00000000" w:rsidRPr="00000000">
        <w:rPr>
          <w:color w:val="000000"/>
          <w:sz w:val="24"/>
          <w:szCs w:val="24"/>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ksv4uv" w:id="15"/>
      <w:bookmarkEnd w:id="15"/>
      <w:r w:rsidDel="00000000" w:rsidR="00000000" w:rsidRPr="00000000">
        <w:rPr>
          <w:color w:val="000000"/>
          <w:sz w:val="24"/>
          <w:szCs w:val="24"/>
          <w:rtl w:val="0"/>
        </w:rPr>
        <w:t xml:space="preserve">The Supplier shall, within twenty (20) Working Days of the conclusion of each such review of the BCDR Plan, provide to the Buyer a report (a </w:t>
      </w:r>
      <w:r w:rsidDel="00000000" w:rsidR="00000000" w:rsidRPr="00000000">
        <w:rPr>
          <w:b w:val="1"/>
          <w:color w:val="000000"/>
          <w:sz w:val="24"/>
          <w:szCs w:val="24"/>
          <w:rtl w:val="0"/>
        </w:rPr>
        <w:t xml:space="preserve">"Review Report"</w:t>
      </w:r>
      <w:r w:rsidDel="00000000" w:rsidR="00000000" w:rsidRPr="00000000">
        <w:rPr>
          <w:color w:val="000000"/>
          <w:sz w:val="24"/>
          <w:szCs w:val="24"/>
          <w:rtl w:val="0"/>
        </w:rPr>
        <w:t xml:space="preserve">) setting out the Supplier's proposals (the </w:t>
      </w:r>
      <w:r w:rsidDel="00000000" w:rsidR="00000000" w:rsidRPr="00000000">
        <w:rPr>
          <w:b w:val="1"/>
          <w:color w:val="000000"/>
          <w:sz w:val="24"/>
          <w:szCs w:val="24"/>
          <w:rtl w:val="0"/>
        </w:rPr>
        <w:t xml:space="preserve">"Supplier's Proposals"</w:t>
      </w:r>
      <w:r w:rsidDel="00000000" w:rsidR="00000000" w:rsidRPr="00000000">
        <w:rPr>
          <w:color w:val="000000"/>
          <w:sz w:val="24"/>
          <w:szCs w:val="24"/>
          <w:rtl w:val="0"/>
        </w:rPr>
        <w:t xml:space="preserve">) for addressing any changes in the risk profile and its proposals for amendments to the BCDR Plan.</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4sinio" w:id="16"/>
      <w:bookmarkEnd w:id="16"/>
      <w:r w:rsidDel="00000000" w:rsidR="00000000" w:rsidRPr="00000000">
        <w:rPr>
          <w:color w:val="000000"/>
          <w:sz w:val="24"/>
          <w:szCs w:val="24"/>
          <w:rtl w:val="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A1">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504" w:hanging="720"/>
        <w:jc w:val="left"/>
        <w:rPr>
          <w:rFonts w:ascii="Arial Bold" w:cs="Arial Bold" w:eastAsia="Arial Bold" w:hAnsi="Arial Bold"/>
          <w:b w:val="1"/>
          <w:color w:val="000000"/>
          <w:sz w:val="24"/>
          <w:szCs w:val="24"/>
        </w:rPr>
      </w:pPr>
      <w:bookmarkStart w:colFirst="0" w:colLast="0" w:name="_heading=h.2jxsxqh" w:id="17"/>
      <w:bookmarkEnd w:id="17"/>
      <w:r w:rsidDel="00000000" w:rsidR="00000000" w:rsidRPr="00000000">
        <w:rPr>
          <w:rFonts w:ascii="Arial Bold" w:cs="Arial Bold" w:eastAsia="Arial Bold" w:hAnsi="Arial Bold"/>
          <w:b w:val="1"/>
          <w:color w:val="000000"/>
          <w:sz w:val="24"/>
          <w:szCs w:val="24"/>
          <w:rtl w:val="0"/>
        </w:rPr>
        <w:t xml:space="preserve">Testing the BCDR Plan</w:t>
      </w:r>
    </w:p>
    <w:p w:rsidR="00000000" w:rsidDel="00000000" w:rsidP="00000000" w:rsidRDefault="00000000" w:rsidRPr="00000000" w14:paraId="000000A2">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z337ya" w:id="18"/>
      <w:bookmarkEnd w:id="18"/>
      <w:r w:rsidDel="00000000" w:rsidR="00000000" w:rsidRPr="00000000">
        <w:rPr>
          <w:color w:val="000000"/>
          <w:sz w:val="24"/>
          <w:szCs w:val="24"/>
          <w:rtl w:val="0"/>
        </w:rPr>
        <w:t xml:space="preserve">The Supplier shall test the BCDR Plan: </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regularly and in any event not less than once in every Contract Year;</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in the event of any major reconfiguration of the Deliverables</w:t>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at any time where the Buyer considers it necessary (acting in its sole discretion).  </w:t>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j2qqm3" w:id="19"/>
      <w:bookmarkEnd w:id="19"/>
      <w:r w:rsidDel="00000000" w:rsidR="00000000" w:rsidRPr="00000000">
        <w:rPr>
          <w:color w:val="000000"/>
          <w:sz w:val="24"/>
          <w:szCs w:val="24"/>
          <w:rtl w:val="0"/>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A9">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within twenty (20) Working Days of the conclusion of each test, provide to the Buyer a report setting out:</w:t>
      </w:r>
    </w:p>
    <w:p w:rsidR="00000000" w:rsidDel="00000000" w:rsidP="00000000" w:rsidRDefault="00000000" w:rsidRPr="00000000" w14:paraId="000000A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outcome of the test;</w:t>
      </w:r>
    </w:p>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any failures in the BCDR Plan (including the BCDR Plan's procedures) revealed by the test; and</w:t>
      </w:r>
    </w:p>
    <w:p w:rsidR="00000000" w:rsidDel="00000000" w:rsidP="00000000" w:rsidRDefault="00000000" w:rsidRPr="00000000" w14:paraId="000000A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Supplier's proposals for remedying any such failures.</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y810tw" w:id="20"/>
      <w:bookmarkEnd w:id="20"/>
      <w:r w:rsidDel="00000000" w:rsidR="00000000" w:rsidRPr="00000000">
        <w:rPr>
          <w:color w:val="000000"/>
          <w:sz w:val="24"/>
          <w:szCs w:val="24"/>
          <w:rtl w:val="0"/>
        </w:rPr>
        <w:t xml:space="preserve">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AE">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720" w:hanging="720"/>
        <w:jc w:val="left"/>
        <w:rPr>
          <w:rFonts w:ascii="Arial Bold" w:cs="Arial Bold" w:eastAsia="Arial Bold" w:hAnsi="Arial Bold"/>
          <w:b w:val="1"/>
          <w:color w:val="000000"/>
          <w:sz w:val="24"/>
          <w:szCs w:val="24"/>
        </w:rPr>
      </w:pPr>
      <w:bookmarkStart w:colFirst="0" w:colLast="0" w:name="_heading=h.4i7ojhp" w:id="21"/>
      <w:bookmarkEnd w:id="21"/>
      <w:r w:rsidDel="00000000" w:rsidR="00000000" w:rsidRPr="00000000">
        <w:rPr>
          <w:rFonts w:ascii="Arial Bold" w:cs="Arial Bold" w:eastAsia="Arial Bold" w:hAnsi="Arial Bold"/>
          <w:b w:val="1"/>
          <w:color w:val="000000"/>
          <w:sz w:val="24"/>
          <w:szCs w:val="24"/>
          <w:rtl w:val="0"/>
        </w:rPr>
        <w:t xml:space="preserve">Invoking the BCDR Plan</w:t>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B0">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Insolvency Continuity Plan element of the BCDR Plan, including any linked elements in other parts of the BCDR Plan, shall be invoked by the Supplier:</w:t>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Where an Insolvency Event of a Key Sub-contractor and/or Supplier Group member (other than the Supplier) could reasonably be expected to adversely affect delivery of the Deliverables; and/or</w:t>
      </w:r>
    </w:p>
    <w:p w:rsidR="00000000" w:rsidDel="00000000" w:rsidP="00000000" w:rsidRDefault="00000000" w:rsidRPr="00000000" w14:paraId="000000B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440" w:hanging="720"/>
        <w:rPr>
          <w:color w:val="000000"/>
          <w:sz w:val="24"/>
          <w:szCs w:val="24"/>
        </w:rPr>
      </w:pPr>
      <w:r w:rsidDel="00000000" w:rsidR="00000000" w:rsidRPr="00000000">
        <w:rPr>
          <w:color w:val="000000"/>
          <w:sz w:val="24"/>
          <w:szCs w:val="24"/>
          <w:rtl w:val="0"/>
        </w:rPr>
        <w:t xml:space="preserve">Where there is an Insolvency Event of the Supplier and the insolvency arrangements enable the Supplier to invoke the plan.</w:t>
      </w:r>
    </w:p>
    <w:p w:rsidR="00000000" w:rsidDel="00000000" w:rsidP="00000000" w:rsidRDefault="00000000" w:rsidRPr="00000000" w14:paraId="000000B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504" w:hanging="720"/>
        <w:jc w:val="left"/>
        <w:rPr>
          <w:b w:val="1"/>
          <w:smallCaps w:val="1"/>
          <w:color w:val="000000"/>
          <w:sz w:val="24"/>
          <w:szCs w:val="24"/>
        </w:rPr>
      </w:pPr>
      <w:r w:rsidDel="00000000" w:rsidR="00000000" w:rsidRPr="00000000">
        <w:rPr>
          <w:b w:val="1"/>
          <w:smallCaps w:val="1"/>
          <w:color w:val="000000"/>
          <w:sz w:val="24"/>
          <w:szCs w:val="24"/>
          <w:rtl w:val="0"/>
        </w:rPr>
        <w:t xml:space="preserve">C</w:t>
      </w:r>
      <w:r w:rsidDel="00000000" w:rsidR="00000000" w:rsidRPr="00000000">
        <w:rPr>
          <w:rFonts w:ascii="Arial Bold" w:cs="Arial Bold" w:eastAsia="Arial Bold" w:hAnsi="Arial Bold"/>
          <w:b w:val="1"/>
          <w:color w:val="000000"/>
          <w:sz w:val="24"/>
          <w:szCs w:val="24"/>
          <w:rtl w:val="0"/>
        </w:rPr>
        <w:t xml:space="preserve">ircumstances beyond your control</w:t>
      </w:r>
      <w:r w:rsidDel="00000000" w:rsidR="00000000" w:rsidRPr="00000000">
        <w:rPr>
          <w:rtl w:val="0"/>
        </w:rPr>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not be entitled to relief under Clause 20 (Circumstances beyond your control) if it would not have been impacted by the Force Majeure Event had it not failed to comply with its obligations under this Schedule. </w:t>
      </w:r>
    </w:p>
    <w:p w:rsidR="00000000" w:rsidDel="00000000" w:rsidP="00000000" w:rsidRDefault="00000000" w:rsidRPr="00000000" w14:paraId="000000B5">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Amendments to this Schedule in respect of Bronze Contracts</w:t>
      </w:r>
      <w:r w:rsidDel="00000000" w:rsidR="00000000" w:rsidRPr="00000000">
        <w:rPr>
          <w:rtl w:val="0"/>
        </w:rPr>
      </w:r>
    </w:p>
    <w:p w:rsidR="00000000" w:rsidDel="00000000" w:rsidP="00000000" w:rsidRDefault="00000000" w:rsidRPr="00000000" w14:paraId="000000B6">
      <w:pPr>
        <w:ind w:firstLine="1418"/>
        <w:rPr>
          <w:color w:val="000000"/>
          <w:sz w:val="24"/>
          <w:szCs w:val="24"/>
        </w:rPr>
      </w:pPr>
      <w:r w:rsidDel="00000000" w:rsidR="00000000" w:rsidRPr="00000000">
        <w:rPr>
          <w:rtl w:val="0"/>
        </w:rPr>
        <w:t xml:space="preserve">10.1 Where </w:t>
      </w:r>
      <w:r w:rsidDel="00000000" w:rsidR="00000000" w:rsidRPr="00000000">
        <w:rPr>
          <w:color w:val="000000"/>
          <w:sz w:val="24"/>
          <w:szCs w:val="24"/>
          <w:rtl w:val="0"/>
        </w:rPr>
        <w:t xml:space="preserve">a Buyer’s Order  Contract is a Bronze Contract, if specified in the Order Form, the following provisions of this Order Schedule 8, shall be disapplied in respect of that Contract:</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10.1.1 Paragraph 1.3.4 of Part A so that the BCDR plan shall only be required to be split into the three sections detailed in paragraphs 1.3.1 to 1.3.3 inclusive;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10.1.2 Paragraphs 2.1.13 to 2.1.15 of Part A, inclusive;</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10.1.3 Paragraph 5 (Insolvency Continuity Plan) of Part A;</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10.1.4 Paragraph 8.2 of Part A; and</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10.1.5 The entirety of Part B of this Schedule.</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before="120" w:lineRule="auto"/>
        <w:ind w:left="720" w:firstLine="0"/>
        <w:jc w:val="left"/>
        <w:rPr>
          <w:color w:val="000000"/>
          <w:sz w:val="24"/>
          <w:szCs w:val="24"/>
        </w:rPr>
      </w:pPr>
      <w:r w:rsidDel="00000000" w:rsidR="00000000" w:rsidRPr="00000000">
        <w:rPr>
          <w:color w:val="000000"/>
          <w:sz w:val="24"/>
          <w:szCs w:val="24"/>
          <w:rtl w:val="0"/>
        </w:rPr>
        <w:t xml:space="preserve">10.2 Where a Buyer’s Order Contract is a Bronze Contract, if specified in the Order Form, the following definitions in Paragraph 1 of this Order Schedule 8, shall be deemed to be deleted:</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 Annual Review;</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10.2.2 Appropriate Authority or Appropriate Authorities;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10.2.3 Associates;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10.2.4 Class 1 Transaction;</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10.2.5 Control;</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10.2.6 Corporate Change Event;</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10.2.7 Critical National Infrastructure;</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10.2.8 Critical Service Contract;</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10.2.9 CRP Information;</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10.2.10 Dependent Parent Undertaking;</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10.2.11 Group Structure Information and Resolution Commentary;</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10.2.12 Parent Undertaking;</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10.2.13 Public Sector Dependent Supplier;</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10.2.14 Subsidiary Undertaking;</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10.2.15 Supplier Group;</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10.2.16 UK Public Sector Business; and</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before="120" w:lineRule="auto"/>
        <w:ind w:left="1440" w:firstLine="0"/>
        <w:jc w:val="left"/>
        <w:rPr>
          <w:color w:val="000000"/>
          <w:sz w:val="24"/>
          <w:szCs w:val="24"/>
        </w:rPr>
      </w:pPr>
      <w:r w:rsidDel="00000000" w:rsidR="00000000" w:rsidRPr="00000000">
        <w:rPr>
          <w:color w:val="000000"/>
          <w:sz w:val="24"/>
          <w:szCs w:val="24"/>
          <w:rtl w:val="0"/>
        </w:rPr>
        <w:t xml:space="preserve">10.2.17 UK Public Sector/CNI Contract Information.</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before="12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F">
      <w:pPr>
        <w:ind w:firstLine="1418"/>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before="120" w:lineRule="auto"/>
        <w:ind w:left="720" w:hanging="720"/>
        <w:rPr>
          <w:b w:val="1"/>
          <w:color w:val="000000"/>
          <w:sz w:val="32"/>
          <w:szCs w:val="32"/>
        </w:rPr>
      </w:pPr>
      <w:r w:rsidDel="00000000" w:rsidR="00000000" w:rsidRPr="00000000">
        <w:rPr>
          <w:b w:val="1"/>
          <w:color w:val="000000"/>
          <w:sz w:val="32"/>
          <w:szCs w:val="32"/>
          <w:rtl w:val="0"/>
        </w:rPr>
        <w:t xml:space="preserve">Part B:  Corporate Resolution Planning</w:t>
      </w:r>
    </w:p>
    <w:p w:rsidR="00000000" w:rsidDel="00000000" w:rsidP="00000000" w:rsidRDefault="00000000" w:rsidRPr="00000000" w14:paraId="000000D1">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color w:val="000000"/>
          <w:sz w:val="24"/>
          <w:szCs w:val="24"/>
        </w:rPr>
      </w:pPr>
      <w:bookmarkStart w:colFirst="0" w:colLast="0" w:name="_heading=h.2xcytpi" w:id="22"/>
      <w:bookmarkEnd w:id="22"/>
      <w:r w:rsidDel="00000000" w:rsidR="00000000" w:rsidRPr="00000000">
        <w:rPr>
          <w:b w:val="1"/>
          <w:color w:val="000000"/>
          <w:sz w:val="24"/>
          <w:szCs w:val="24"/>
          <w:rtl w:val="0"/>
        </w:rPr>
        <w:t xml:space="preserve">Service Status and Supplier Status</w:t>
      </w:r>
    </w:p>
    <w:p w:rsidR="00000000" w:rsidDel="00000000" w:rsidP="00000000" w:rsidRDefault="00000000" w:rsidRPr="00000000" w14:paraId="000000D2">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This Contract </w:t>
      </w:r>
      <w:r w:rsidDel="00000000" w:rsidR="00000000" w:rsidRPr="00000000">
        <w:rPr>
          <w:color w:val="000000"/>
          <w:sz w:val="24"/>
          <w:szCs w:val="24"/>
          <w:highlight w:val="yellow"/>
          <w:rtl w:val="0"/>
        </w:rPr>
        <w:t xml:space="preserve">[insert ‘is’ or ‘is not’</w:t>
      </w:r>
      <w:r w:rsidDel="00000000" w:rsidR="00000000" w:rsidRPr="00000000">
        <w:rPr>
          <w:color w:val="000000"/>
          <w:sz w:val="24"/>
          <w:szCs w:val="24"/>
          <w:rtl w:val="0"/>
        </w:rPr>
        <w:t xml:space="preserve">] a Critical Service Contract.</w:t>
      </w:r>
    </w:p>
    <w:p w:rsidR="00000000" w:rsidDel="00000000" w:rsidP="00000000" w:rsidRDefault="00000000" w:rsidRPr="00000000" w14:paraId="000000D3">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Supplier shall notify the Buyer in writing within 5 Working Days of the Effective Date and throughout the Order Contract Period within 120 days after each Accounting Reference Date as to whether or not it is a Public Sector Dependent Supplier.</w:t>
      </w:r>
    </w:p>
    <w:p w:rsidR="00000000" w:rsidDel="00000000" w:rsidP="00000000" w:rsidRDefault="00000000" w:rsidRPr="00000000" w14:paraId="000000D4">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color w:val="000000"/>
          <w:sz w:val="24"/>
          <w:szCs w:val="24"/>
        </w:rPr>
      </w:pPr>
      <w:r w:rsidDel="00000000" w:rsidR="00000000" w:rsidRPr="00000000">
        <w:rPr>
          <w:b w:val="1"/>
          <w:color w:val="000000"/>
          <w:sz w:val="24"/>
          <w:szCs w:val="24"/>
          <w:rtl w:val="0"/>
        </w:rPr>
        <w:t xml:space="preserve">Provision of Corporate Resolution Planning Information</w:t>
      </w:r>
    </w:p>
    <w:p w:rsidR="00000000" w:rsidDel="00000000" w:rsidP="00000000" w:rsidRDefault="00000000" w:rsidRPr="00000000" w14:paraId="000000D5">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Paragraphs 2 to 4 of this Part B shall apply if the Contract has been specified as a Critical Service Contract under Paragraph 1.1 of this Part B or the Supplier is or becomes a Public Sector Dependent Supplier.</w:t>
      </w:r>
    </w:p>
    <w:p w:rsidR="00000000" w:rsidDel="00000000" w:rsidP="00000000" w:rsidRDefault="00000000" w:rsidRPr="00000000" w14:paraId="000000D6">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Subject to Paragraphs 2.6, 2.10 and 2.11 of this Part B:</w:t>
      </w:r>
    </w:p>
    <w:p w:rsidR="00000000" w:rsidDel="00000000" w:rsidP="00000000" w:rsidRDefault="00000000" w:rsidRPr="00000000" w14:paraId="000000D7">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where the Contract is a Critical Service Contract, the Supplier shall provide the Appropriate Authority or Appropriate Authorities</w:t>
      </w:r>
      <w:r w:rsidDel="00000000" w:rsidR="00000000" w:rsidRPr="00000000">
        <w:rPr>
          <w:sz w:val="28"/>
          <w:szCs w:val="28"/>
          <w:rtl w:val="0"/>
        </w:rPr>
        <w:t xml:space="preserve"> </w:t>
      </w:r>
      <w:r w:rsidDel="00000000" w:rsidR="00000000" w:rsidRPr="00000000">
        <w:rPr>
          <w:sz w:val="24"/>
          <w:szCs w:val="24"/>
          <w:rtl w:val="0"/>
        </w:rPr>
        <w:t xml:space="preserve">with the CRP Information within 60 days of the Effective Date; and</w:t>
      </w:r>
    </w:p>
    <w:p w:rsidR="00000000" w:rsidDel="00000000" w:rsidP="00000000" w:rsidRDefault="00000000" w:rsidRPr="00000000" w14:paraId="000000D8">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except where it has already been provided, where the Supplier is a Public Sector Dependent Supplier, it shall provide the Appropriate Authority or Appropriate Authorities with the CRP Information within 60 days of the date of the Appropriate Authority’s or Appropriate Authorities’ request.</w:t>
      </w:r>
    </w:p>
    <w:p w:rsidR="00000000" w:rsidDel="00000000" w:rsidP="00000000" w:rsidRDefault="00000000" w:rsidRPr="00000000" w14:paraId="000000D9">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Supplier shall ensure that the CRP Information provided pursuant to Paragraphs 2.2, 2.8 and 2.9 of this Part B:</w:t>
      </w:r>
    </w:p>
    <w:p w:rsidR="00000000" w:rsidDel="00000000" w:rsidP="00000000" w:rsidRDefault="00000000" w:rsidRPr="00000000" w14:paraId="000000DA">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is full, comprehensive, accurate and up to date;</w:t>
      </w:r>
    </w:p>
    <w:p w:rsidR="00000000" w:rsidDel="00000000" w:rsidP="00000000" w:rsidRDefault="00000000" w:rsidRPr="00000000" w14:paraId="000000DB">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is split into two parts:</w:t>
      </w:r>
    </w:p>
    <w:p w:rsidR="00000000" w:rsidDel="00000000" w:rsidP="00000000" w:rsidRDefault="00000000" w:rsidRPr="00000000" w14:paraId="000000DC">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Group Structure Information and Resolution Commentary;</w:t>
      </w:r>
    </w:p>
    <w:p w:rsidR="00000000" w:rsidDel="00000000" w:rsidP="00000000" w:rsidRDefault="00000000" w:rsidRPr="00000000" w14:paraId="000000DD">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UK Public Service / CNI Contract Information and is structured and presented in accordance with the requirements and explanatory notes set out at Annex I of the latest published version of the Resolution Planning Guidance published by the Cabinet Office Government Commercial Function and available at https://www.gov.uk/government/publications/the-outsourcingplaybook and contains the level of detail required (adapted as necessary to the Supplier’s circumstances);</w:t>
      </w:r>
    </w:p>
    <w:p w:rsidR="00000000" w:rsidDel="00000000" w:rsidP="00000000" w:rsidRDefault="00000000" w:rsidRPr="00000000" w14:paraId="000000DE">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incorporates any additional commentary, supporting documents and evidence which would reasonably be required by the Appropriate Authority or Appropriate Authorities to understand and consider the information for approval;</w:t>
      </w:r>
    </w:p>
    <w:p w:rsidR="00000000" w:rsidDel="00000000" w:rsidP="00000000" w:rsidRDefault="00000000" w:rsidRPr="00000000" w14:paraId="000000DF">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provides a clear description and explanation of the Supplier Group members that have agreements for goods, services or works provision in respect of UK Public Sector Business and/or Critical National Infrastructure and the nature of those agreements; and</w:t>
      </w:r>
    </w:p>
    <w:p w:rsidR="00000000" w:rsidDel="00000000" w:rsidP="00000000" w:rsidRDefault="00000000" w:rsidRPr="00000000" w14:paraId="000000E0">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complies with the requirements set out at Appendix 1 (Group Structure Information and Resolution Commentary) and Appendix 2 (UK Public Sector / CNI Contract Information) respectively.</w:t>
      </w:r>
    </w:p>
    <w:p w:rsidR="00000000" w:rsidDel="00000000" w:rsidP="00000000" w:rsidRDefault="00000000" w:rsidRPr="00000000" w14:paraId="000000E1">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Following receipt by the Appropriate Authority or Appropriate Authorities of the CRP Information pursuant to Paragraphs 2.2, 2.8 and 2.9 of this Part B, the Buyer shall procure that the Appropriate Authority or Appropriate Authorities shall discuss in good faith the contents of the CRP Information with the Supplier and no later than 60 days after the date on which the CRP Information was delivered by the Supplier either provide an Assurance to the Supplier that the Appropriate Authority or Appropriate Authorities approves the CRP Information or that the Appropriate Authority or Appropriate Authorities rejects the CRP Information.</w:t>
      </w:r>
    </w:p>
    <w:p w:rsidR="00000000" w:rsidDel="00000000" w:rsidP="00000000" w:rsidRDefault="00000000" w:rsidRPr="00000000" w14:paraId="000000E2">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If the Appropriate Authority or Appropriate Authorities rejects the CRP Information:</w:t>
      </w:r>
    </w:p>
    <w:p w:rsidR="00000000" w:rsidDel="00000000" w:rsidP="00000000" w:rsidRDefault="00000000" w:rsidRPr="00000000" w14:paraId="000000E3">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the Buyer shall (and shall procure that the Cabinet Office Markets and Suppliers Team shall) inform the Supplier in writing of its reasons for its rejection; and</w:t>
      </w:r>
    </w:p>
    <w:p w:rsidR="00000000" w:rsidDel="00000000" w:rsidP="00000000" w:rsidRDefault="00000000" w:rsidRPr="00000000" w14:paraId="000000E4">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the Supplier shall revise the CRP Information, taking reasonable account of the Appropriate Authority’s or Appropriate Authorities’ comments, and shall re-submit the CRP Information to the Appropriate Authority or Appropriate Authorities for approval within 30 days of the date of the Appropriate Authority’s or Appropriate Authorities’ rejection. The provisions of paragraph 2.3 to 2.5 of this Part B shall apply again to any resubmitted CRP Information provided that either Party may refer any disputed matters for resolution by the Dispute Resolution Procedure under Clause 34 of the Core Terms at any time.</w:t>
      </w:r>
    </w:p>
    <w:p w:rsidR="00000000" w:rsidDel="00000000" w:rsidP="00000000" w:rsidRDefault="00000000" w:rsidRPr="00000000" w14:paraId="000000E5">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Where the Supplier or a member of the Supplier Group has already provided CRP Information to a Department or the Cabinet Office Markets and Suppliers Team (or, in the case of a Strategic Supplier, solely to the Cabinet Office Markets and Suppliers Team) and has received an Assurance of its CRP Information from that Department and the Cabinet Office Markets and Suppliers Team (or, in the case of a Strategic Supplier, solely from the Cabinet Office Markets and Suppliers Team), then provided that the Assurance remains Valid (which has the meaning in paragraph 2.7 below) on the date by which the CRP Information would otherwise be required, the Supplier shall not be required to provide the CRP Information under Paragraph 2.2 if it provides a copy of the Valid Assurance to the Appropriate Authority or Appropriate Authorities on or before the date on which the CRP Information would otherwise have been required.</w:t>
      </w:r>
    </w:p>
    <w:p w:rsidR="00000000" w:rsidDel="00000000" w:rsidP="00000000" w:rsidRDefault="00000000" w:rsidRPr="00000000" w14:paraId="000000E6">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An Assurance shall be deemed Valid for the purposes of Paragraph 2.6 of this Part B if:</w:t>
      </w:r>
    </w:p>
    <w:p w:rsidR="00000000" w:rsidDel="00000000" w:rsidP="00000000" w:rsidRDefault="00000000" w:rsidRPr="00000000" w14:paraId="000000E7">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the Assurance is within the validity period stated in the Assurance (or, if no validity period is stated, no more than 12 months has elapsed since it was issued and no more than 18 months has elapsed since the Accounting Reference Date on which the CRP Information was based); and</w:t>
      </w:r>
    </w:p>
    <w:p w:rsidR="00000000" w:rsidDel="00000000" w:rsidP="00000000" w:rsidRDefault="00000000" w:rsidRPr="00000000" w14:paraId="000000E8">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no Corporate Change Events or Financial Distress Events (or events which would be deemed to be Corporate Change Events or Financial Distress Events if the Contract had then been in force) have occurred since the date of issue of the Assurance.</w:t>
      </w:r>
    </w:p>
    <w:p w:rsidR="00000000" w:rsidDel="00000000" w:rsidP="00000000" w:rsidRDefault="00000000" w:rsidRPr="00000000" w14:paraId="000000E9">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If the Contract is a Critical Service Contract, the Supplier shall provide an updated version of the CRP Information (or, in the case of Paragraph 2.8.3 of this Part B its initial CRP Information) to the Appropriate Authority or Appropriate Authorities:</w:t>
      </w:r>
    </w:p>
    <w:p w:rsidR="00000000" w:rsidDel="00000000" w:rsidP="00000000" w:rsidRDefault="00000000" w:rsidRPr="00000000" w14:paraId="000000EA">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within 14 days of the occurrence of a Financial Distress Event (along with any additional highly confidential information no longer exempted from disclosure under Paragraph 2.11 of this Part B) unless the Supplier is relieved of the consequences of the Financial Distress Event under Paragraph 7.1 of Joint Schedule 7 (Financial Distress) (if applicable);</w:t>
      </w:r>
    </w:p>
    <w:p w:rsidR="00000000" w:rsidDel="00000000" w:rsidP="00000000" w:rsidRDefault="00000000" w:rsidRPr="00000000" w14:paraId="000000EB">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within 30 days of a Corporate Change Event unless not required pursuant to Paragraph 2.10;</w:t>
      </w:r>
    </w:p>
    <w:p w:rsidR="00000000" w:rsidDel="00000000" w:rsidP="00000000" w:rsidRDefault="00000000" w:rsidRPr="00000000" w14:paraId="000000EC">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within 30 days of the date that:</w:t>
      </w:r>
    </w:p>
    <w:p w:rsidR="00000000" w:rsidDel="00000000" w:rsidP="00000000" w:rsidRDefault="00000000" w:rsidRPr="00000000" w14:paraId="000000ED">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the credit rating(s) of each of the Supplier and its Parent Undertakings fail to meet any of the criteria specified in Paragraph 2.10; or</w:t>
      </w:r>
    </w:p>
    <w:p w:rsidR="00000000" w:rsidDel="00000000" w:rsidP="00000000" w:rsidRDefault="00000000" w:rsidRPr="00000000" w14:paraId="000000EE">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none of the credit rating agencies specified at Paragraph 2.10 hold a public credit rating for the Supplier or any of its Parent Undertakings; and</w:t>
      </w:r>
    </w:p>
    <w:p w:rsidR="00000000" w:rsidDel="00000000" w:rsidP="00000000" w:rsidRDefault="00000000" w:rsidRPr="00000000" w14:paraId="000000EF">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in any event, within 6 months after each Accounting Reference Date or within 15 months of the date of the previous Assurance received from the Appropriate Authority (whichever is the earlier), unless:</w:t>
      </w:r>
    </w:p>
    <w:p w:rsidR="00000000" w:rsidDel="00000000" w:rsidP="00000000" w:rsidRDefault="00000000" w:rsidRPr="00000000" w14:paraId="000000F0">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updated CRP Information has been provided under any of Paragraphs 2.8.1 2.8.2 or 2.8.3 since the most recent Accounting Reference Date (being no more than 12 months previously) within the timescales that would ordinarily be required for the provision of that information under this Paragraph 2.8.4; or</w:t>
      </w:r>
    </w:p>
    <w:p w:rsidR="00000000" w:rsidDel="00000000" w:rsidP="00000000" w:rsidRDefault="00000000" w:rsidRPr="00000000" w14:paraId="000000F1">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unless not required pursuant to Paragraph 2.10.</w:t>
      </w:r>
    </w:p>
    <w:p w:rsidR="00000000" w:rsidDel="00000000" w:rsidP="00000000" w:rsidRDefault="00000000" w:rsidRPr="00000000" w14:paraId="000000F2">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Where the Supplier is a Public Sector Dependent Supplier and the Contract is not a Critical Service Contract, then on the occurrence of any of the events   specified in Paragraphs 2.8.1 to 2.8.4 of this Part B, the Supplier shall provide at the request of the Appropriate Authority or Appropriate Authorities and within the applicable timescales for each event as set out in Paragraph 2.8 (or such longer timescales as may be notified to the Supplier by the Buyer), the CRP Information to the Appropriate Authority or Appropriate Authorities.</w:t>
      </w:r>
    </w:p>
    <w:p w:rsidR="00000000" w:rsidDel="00000000" w:rsidP="00000000" w:rsidRDefault="00000000" w:rsidRPr="00000000" w14:paraId="000000F3">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Where the Supplier or a Parent Undertaking of the Supplier has a credit rating of either:</w:t>
      </w:r>
    </w:p>
    <w:p w:rsidR="00000000" w:rsidDel="00000000" w:rsidP="00000000" w:rsidRDefault="00000000" w:rsidRPr="00000000" w14:paraId="000000F4">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Aa3 or better from Moody’s;</w:t>
      </w:r>
    </w:p>
    <w:p w:rsidR="00000000" w:rsidDel="00000000" w:rsidP="00000000" w:rsidRDefault="00000000" w:rsidRPr="00000000" w14:paraId="000000F5">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AA- or better from Standard and Poors;</w:t>
      </w:r>
    </w:p>
    <w:p w:rsidR="00000000" w:rsidDel="00000000" w:rsidP="00000000" w:rsidRDefault="00000000" w:rsidRPr="00000000" w14:paraId="000000F6">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AA- or better from Fitch;</w:t>
      </w:r>
    </w:p>
    <w:p w:rsidR="00000000" w:rsidDel="00000000" w:rsidP="00000000" w:rsidRDefault="00000000" w:rsidRPr="00000000" w14:paraId="000000F7">
      <w:pPr>
        <w:keepNext w:val="1"/>
        <w:pBdr>
          <w:top w:space="0" w:sz="0" w:val="nil"/>
          <w:left w:space="0" w:sz="0" w:val="nil"/>
          <w:bottom w:space="0" w:sz="0" w:val="nil"/>
          <w:right w:space="0" w:sz="0" w:val="nil"/>
          <w:between w:space="0" w:sz="0" w:val="nil"/>
        </w:pBdr>
        <w:spacing w:after="120" w:before="120" w:lineRule="auto"/>
        <w:ind w:left="720" w:firstLine="0"/>
        <w:jc w:val="left"/>
        <w:rPr>
          <w:sz w:val="24"/>
          <w:szCs w:val="24"/>
        </w:rPr>
      </w:pPr>
      <w:r w:rsidDel="00000000" w:rsidR="00000000" w:rsidRPr="00000000">
        <w:rPr>
          <w:sz w:val="24"/>
          <w:szCs w:val="24"/>
          <w:rtl w:val="0"/>
        </w:rPr>
        <w:t xml:space="preserve">the Supplier will not be required to provide any CRP Information unless or until either (i) a Financial Distress Event occurs (unless the Supplier is relieved of the consequences of the Financial Distress Event under Paragraph 7.1 to Joint Schedule 7 (Financial Distress), if applicable) or (ii) the Supplier and its Parent Undertakings cease to fulfil the criteria set out in this Paragraph 2.10, in which cases the Supplier shall provide the updated version of the CRP Information in accordance with paragraph 2.8.</w:t>
      </w:r>
    </w:p>
    <w:p w:rsidR="00000000" w:rsidDel="00000000" w:rsidP="00000000" w:rsidRDefault="00000000" w:rsidRPr="00000000" w14:paraId="000000F8">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Subject to Paragraph 4, where the Supplier demonstrates to the reasonable satisfaction of the Appropriate Authority or Appropriate Authorities that a particular item of CRP Information is highly confidential, the Supplier may, having orally disclosed and discussed that information with the Appropriate Authority or Appropriate Authorities, redact or omit that information from the CRP Information provided that if a Financial Distress Event occurs, this exemption shall no longer apply and the Supplier shall promptly provide the relevant information to the Appropriate Authority or Appropriate Authorities to the extent required under Paragraph 2.8.</w:t>
      </w:r>
    </w:p>
    <w:p w:rsidR="00000000" w:rsidDel="00000000" w:rsidP="00000000" w:rsidRDefault="00000000" w:rsidRPr="00000000" w14:paraId="000000F9">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color w:val="000000"/>
          <w:sz w:val="24"/>
          <w:szCs w:val="24"/>
        </w:rPr>
      </w:pPr>
      <w:r w:rsidDel="00000000" w:rsidR="00000000" w:rsidRPr="00000000">
        <w:rPr>
          <w:b w:val="1"/>
          <w:color w:val="000000"/>
          <w:sz w:val="24"/>
          <w:szCs w:val="24"/>
          <w:rtl w:val="0"/>
        </w:rPr>
        <w:t xml:space="preserve">Termination Rights</w:t>
      </w:r>
    </w:p>
    <w:p w:rsidR="00000000" w:rsidDel="00000000" w:rsidP="00000000" w:rsidRDefault="00000000" w:rsidRPr="00000000" w14:paraId="000000FA">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Buyer shall be entitled to terminate the Contract if the Supplier is required to provide CRP Information under Paragraph 2 of this Part B and either:</w:t>
      </w:r>
    </w:p>
    <w:p w:rsidR="00000000" w:rsidDel="00000000" w:rsidP="00000000" w:rsidRDefault="00000000" w:rsidRPr="00000000" w14:paraId="000000FB">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the Supplier fails to provide the CRP Information within 4 months of the Effective Date if this is a Critical Service Contract or otherwise within 4 months of the Appropriate Authority’s or Appropriate Authorities’ request; or</w:t>
      </w:r>
    </w:p>
    <w:p w:rsidR="00000000" w:rsidDel="00000000" w:rsidP="00000000" w:rsidRDefault="00000000" w:rsidRPr="00000000" w14:paraId="000000FC">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the Supplier fails to obtain an Assurance from the Appropriate Authority or Appropriate Authorities within 4 months of the date that it was first required to provide the CRP Information under the Contract,</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which shall be deemed to be an event to which Clause 10.4.1 of the Core Terms applies and Clauses 10.6.1 and 10.6.2 of the Core Terms shall apply accordingly.</w:t>
      </w:r>
    </w:p>
    <w:p w:rsidR="00000000" w:rsidDel="00000000" w:rsidP="00000000" w:rsidRDefault="00000000" w:rsidRPr="00000000" w14:paraId="000000FE">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720" w:hanging="720"/>
        <w:jc w:val="left"/>
        <w:rPr>
          <w:b w:val="1"/>
          <w:color w:val="000000"/>
          <w:sz w:val="24"/>
          <w:szCs w:val="24"/>
        </w:rPr>
      </w:pPr>
      <w:r w:rsidDel="00000000" w:rsidR="00000000" w:rsidRPr="00000000">
        <w:rPr>
          <w:b w:val="1"/>
          <w:color w:val="000000"/>
          <w:sz w:val="24"/>
          <w:szCs w:val="24"/>
          <w:rtl w:val="0"/>
        </w:rPr>
        <w:t xml:space="preserve">Confidentiality and usage of CRP Information</w:t>
      </w:r>
    </w:p>
    <w:p w:rsidR="00000000" w:rsidDel="00000000" w:rsidP="00000000" w:rsidRDefault="00000000" w:rsidRPr="00000000" w14:paraId="000000FF">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Buyer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p>
    <w:p w:rsidR="00000000" w:rsidDel="00000000" w:rsidP="00000000" w:rsidRDefault="00000000" w:rsidRPr="00000000" w14:paraId="00000100">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bookmarkStart w:colFirst="0" w:colLast="0" w:name="_heading=h.23ckvvd" w:id="23"/>
      <w:bookmarkEnd w:id="23"/>
      <w:r w:rsidDel="00000000" w:rsidR="00000000" w:rsidRPr="00000000">
        <w:rPr>
          <w:color w:val="000000"/>
          <w:sz w:val="24"/>
          <w:szCs w:val="24"/>
          <w:rtl w:val="0"/>
        </w:rPr>
        <w:t xml:space="preserve">Where the Appropriate Authority is the Cabinet Office Markets and Suppliers Team, at the Supplier’s request, the Buyer shall use reasonable endeavours to procure that the Cabinet Office enters into a confidentiality and usage agreement with the Supplier containing terms no less stringent than those placed on the Buyer under paragraph 4.1 of this Part B and Clause 15 of the Core Terms.</w:t>
      </w:r>
    </w:p>
    <w:p w:rsidR="00000000" w:rsidDel="00000000" w:rsidP="00000000" w:rsidRDefault="00000000" w:rsidRPr="00000000" w14:paraId="00000101">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Supplier shall use reasonable endeavours to obtain consent from any third party which has restricted the disclosure of the CRP Information to enable disclosure of that information to the Appropriate Authority or Appropriate Authorities pursuant to Paragraph 2 of this Part B subject, where necessary, to the Appropriate Authority or Appropriate Authorities entering into an appropriate confidentiality agreement in the form required by the third party.</w:t>
      </w:r>
    </w:p>
    <w:p w:rsidR="00000000" w:rsidDel="00000000" w:rsidP="00000000" w:rsidRDefault="00000000" w:rsidRPr="00000000" w14:paraId="00000102">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Where the Supplier is unable to procure consent pursuant to Paragraph 4.3 of this Part B, the Supplier shall use all reasonable endeavours to disclose the CRP Information to the fullest extent possible by limiting the amount of information it withholds including by:</w:t>
      </w:r>
    </w:p>
    <w:p w:rsidR="00000000" w:rsidDel="00000000" w:rsidP="00000000" w:rsidRDefault="00000000" w:rsidRPr="00000000" w14:paraId="00000103">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redacting only those parts of the information which are subject to such obligations of confidentiality;</w:t>
      </w:r>
    </w:p>
    <w:p w:rsidR="00000000" w:rsidDel="00000000" w:rsidP="00000000" w:rsidRDefault="00000000" w:rsidRPr="00000000" w14:paraId="00000104">
      <w:pPr>
        <w:keepNext w:val="1"/>
        <w:numPr>
          <w:ilvl w:val="2"/>
          <w:numId w:val="3"/>
        </w:numPr>
        <w:pBdr>
          <w:top w:space="0" w:sz="0" w:val="nil"/>
          <w:left w:space="0" w:sz="0" w:val="nil"/>
          <w:bottom w:space="0" w:sz="0" w:val="nil"/>
          <w:right w:space="0" w:sz="0" w:val="nil"/>
          <w:between w:space="0" w:sz="0" w:val="nil"/>
        </w:pBdr>
        <w:spacing w:after="120" w:before="120" w:lineRule="auto"/>
        <w:ind w:left="1440" w:hanging="720"/>
        <w:jc w:val="left"/>
        <w:rPr>
          <w:sz w:val="24"/>
          <w:szCs w:val="24"/>
        </w:rPr>
      </w:pPr>
      <w:r w:rsidDel="00000000" w:rsidR="00000000" w:rsidRPr="00000000">
        <w:rPr>
          <w:sz w:val="24"/>
          <w:szCs w:val="24"/>
          <w:rtl w:val="0"/>
        </w:rPr>
        <w:t xml:space="preserve">providing the information in a form that does not breach its obligations of confidentiality including (where possible) by:</w:t>
      </w:r>
    </w:p>
    <w:p w:rsidR="00000000" w:rsidDel="00000000" w:rsidP="00000000" w:rsidRDefault="00000000" w:rsidRPr="00000000" w14:paraId="00000105">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summarising the information;</w:t>
      </w:r>
    </w:p>
    <w:p w:rsidR="00000000" w:rsidDel="00000000" w:rsidP="00000000" w:rsidRDefault="00000000" w:rsidRPr="00000000" w14:paraId="00000106">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grouping the information;</w:t>
      </w:r>
    </w:p>
    <w:p w:rsidR="00000000" w:rsidDel="00000000" w:rsidP="00000000" w:rsidRDefault="00000000" w:rsidRPr="00000000" w14:paraId="00000107">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anonymising the information; and</w:t>
      </w:r>
    </w:p>
    <w:p w:rsidR="00000000" w:rsidDel="00000000" w:rsidP="00000000" w:rsidRDefault="00000000" w:rsidRPr="00000000" w14:paraId="00000108">
      <w:pPr>
        <w:numPr>
          <w:ilvl w:val="3"/>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2127" w:hanging="720"/>
        <w:rPr>
          <w:color w:val="000000"/>
          <w:sz w:val="24"/>
          <w:szCs w:val="24"/>
        </w:rPr>
      </w:pPr>
      <w:r w:rsidDel="00000000" w:rsidR="00000000" w:rsidRPr="00000000">
        <w:rPr>
          <w:color w:val="000000"/>
          <w:sz w:val="24"/>
          <w:szCs w:val="24"/>
          <w:rtl w:val="0"/>
        </w:rPr>
        <w:t xml:space="preserve">presenting the information in general terms</w:t>
      </w:r>
    </w:p>
    <w:p w:rsidR="00000000" w:rsidDel="00000000" w:rsidP="00000000" w:rsidRDefault="00000000" w:rsidRPr="00000000" w14:paraId="00000109">
      <w:pPr>
        <w:numPr>
          <w:ilvl w:val="1"/>
          <w:numId w:val="3"/>
        </w:numPr>
        <w:pBdr>
          <w:top w:space="0" w:sz="0" w:val="nil"/>
          <w:left w:space="0" w:sz="0" w:val="nil"/>
          <w:bottom w:space="0" w:sz="0" w:val="nil"/>
          <w:right w:space="0" w:sz="0" w:val="nil"/>
          <w:between w:space="0" w:sz="0" w:val="nil"/>
        </w:pBdr>
        <w:spacing w:after="120" w:before="120" w:lineRule="auto"/>
        <w:ind w:left="720" w:hanging="720"/>
        <w:rPr>
          <w:color w:val="000000"/>
          <w:sz w:val="24"/>
          <w:szCs w:val="24"/>
        </w:rPr>
      </w:pPr>
      <w:r w:rsidDel="00000000" w:rsidR="00000000" w:rsidRPr="00000000">
        <w:rPr>
          <w:color w:val="000000"/>
          <w:sz w:val="24"/>
          <w:szCs w:val="24"/>
          <w:rtl w:val="0"/>
        </w:rPr>
        <w:t xml:space="preserve">The Supplier shall provide the Appropriate Authority or Appropriate Authorities with contact details of any third party which has not provided consent to disclose CRP Information where that third party is also a public sector body and where the Supplier is legally permitted to do so.</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before="120" w:lineRule="auto"/>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B">
      <w:pPr>
        <w:ind w:firstLine="1418"/>
        <w:rPr/>
      </w:pPr>
      <w:r w:rsidDel="00000000" w:rsidR="00000000" w:rsidRPr="00000000">
        <w:br w:type="page"/>
      </w:r>
      <w:r w:rsidDel="00000000" w:rsidR="00000000" w:rsidRPr="00000000">
        <w:rPr>
          <w:rtl w:val="0"/>
        </w:rPr>
      </w:r>
    </w:p>
    <w:p w:rsidR="00000000" w:rsidDel="00000000" w:rsidP="00000000" w:rsidRDefault="00000000" w:rsidRPr="00000000" w14:paraId="0000010C">
      <w:pPr>
        <w:ind w:left="0" w:firstLine="0"/>
        <w:rPr>
          <w:b w:val="1"/>
          <w:sz w:val="32"/>
          <w:szCs w:val="32"/>
        </w:rPr>
      </w:pPr>
      <w:r w:rsidDel="00000000" w:rsidR="00000000" w:rsidRPr="00000000">
        <w:rPr>
          <w:b w:val="1"/>
          <w:sz w:val="32"/>
          <w:szCs w:val="32"/>
          <w:rtl w:val="0"/>
        </w:rPr>
        <w:t xml:space="preserve">Appendix 1: Group structure information and resolution commentary</w:t>
      </w:r>
    </w:p>
    <w:p w:rsidR="00000000" w:rsidDel="00000000" w:rsidP="00000000" w:rsidRDefault="00000000" w:rsidRPr="00000000" w14:paraId="0000010D">
      <w:pPr>
        <w:numPr>
          <w:ilvl w:val="0"/>
          <w:numId w:val="4"/>
        </w:numPr>
        <w:pBdr>
          <w:top w:space="0" w:sz="0" w:val="nil"/>
          <w:left w:space="0" w:sz="0" w:val="nil"/>
          <w:bottom w:space="0" w:sz="0" w:val="nil"/>
          <w:right w:space="0" w:sz="0" w:val="nil"/>
          <w:between w:space="0" w:sz="0" w:val="nil"/>
        </w:pBdr>
        <w:ind w:left="720" w:hanging="720"/>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10E">
      <w:pPr>
        <w:numPr>
          <w:ilvl w:val="1"/>
          <w:numId w:val="4"/>
        </w:numPr>
        <w:pBdr>
          <w:top w:space="0" w:sz="0" w:val="nil"/>
          <w:left w:space="0" w:sz="0" w:val="nil"/>
          <w:bottom w:space="0" w:sz="0" w:val="nil"/>
          <w:right w:space="0" w:sz="0" w:val="nil"/>
          <w:between w:space="0" w:sz="0" w:val="nil"/>
        </w:pBdr>
        <w:ind w:left="1134" w:hanging="720"/>
        <w:rPr>
          <w:color w:val="000000"/>
          <w:sz w:val="24"/>
          <w:szCs w:val="24"/>
        </w:rPr>
      </w:pPr>
      <w:r w:rsidDel="00000000" w:rsidR="00000000" w:rsidRPr="00000000">
        <w:rPr>
          <w:color w:val="000000"/>
          <w:sz w:val="24"/>
          <w:szCs w:val="24"/>
          <w:rtl w:val="0"/>
        </w:rPr>
        <w:t xml:space="preserve">provide sufficient information to allow the Appropriate Authority to understand the implications on the Supplier Group’s UK Public Sector Business and CNI contracts listed pursuant to Appendix 2 if the Supplier or another member of the Supplier Group is subject to an Insolvency Event;</w:t>
      </w:r>
    </w:p>
    <w:p w:rsidR="00000000" w:rsidDel="00000000" w:rsidP="00000000" w:rsidRDefault="00000000" w:rsidRPr="00000000" w14:paraId="0000010F">
      <w:pPr>
        <w:numPr>
          <w:ilvl w:val="1"/>
          <w:numId w:val="4"/>
        </w:numPr>
        <w:pBdr>
          <w:top w:space="0" w:sz="0" w:val="nil"/>
          <w:left w:space="0" w:sz="0" w:val="nil"/>
          <w:bottom w:space="0" w:sz="0" w:val="nil"/>
          <w:right w:space="0" w:sz="0" w:val="nil"/>
          <w:between w:space="0" w:sz="0" w:val="nil"/>
        </w:pBdr>
        <w:ind w:left="1134" w:hanging="720"/>
        <w:rPr>
          <w:color w:val="000000"/>
          <w:sz w:val="24"/>
          <w:szCs w:val="24"/>
        </w:rPr>
      </w:pPr>
      <w:r w:rsidDel="00000000" w:rsidR="00000000" w:rsidRPr="00000000">
        <w:rPr>
          <w:color w:val="000000"/>
          <w:sz w:val="24"/>
          <w:szCs w:val="24"/>
          <w:rtl w:val="0"/>
        </w:rPr>
        <w:t xml:space="preserve">ensure that the information is presented so as to provide a simple, effective and easily understood overview of the Supplier Group; and</w:t>
      </w:r>
    </w:p>
    <w:p w:rsidR="00000000" w:rsidDel="00000000" w:rsidP="00000000" w:rsidRDefault="00000000" w:rsidRPr="00000000" w14:paraId="00000110">
      <w:pPr>
        <w:numPr>
          <w:ilvl w:val="1"/>
          <w:numId w:val="4"/>
        </w:numPr>
        <w:pBdr>
          <w:top w:space="0" w:sz="0" w:val="nil"/>
          <w:left w:space="0" w:sz="0" w:val="nil"/>
          <w:bottom w:space="0" w:sz="0" w:val="nil"/>
          <w:right w:space="0" w:sz="0" w:val="nil"/>
          <w:between w:space="0" w:sz="0" w:val="nil"/>
        </w:pBdr>
        <w:ind w:left="1134" w:hanging="720"/>
        <w:rPr>
          <w:color w:val="000000"/>
          <w:sz w:val="24"/>
          <w:szCs w:val="24"/>
        </w:rPr>
      </w:pPr>
      <w:r w:rsidDel="00000000" w:rsidR="00000000" w:rsidRPr="00000000">
        <w:rPr>
          <w:color w:val="000000"/>
          <w:sz w:val="24"/>
          <w:szCs w:val="24"/>
          <w:rtl w:val="0"/>
        </w:rPr>
        <w:t xml:space="preserve">provide full details of the importance of each member of the Supplier Group to the Supplier Group’s UK Public Sector Business and CNI contracts listed pursuant to Appendix 2 and the dependencies between each.</w:t>
      </w:r>
    </w:p>
    <w:p w:rsidR="00000000" w:rsidDel="00000000" w:rsidP="00000000" w:rsidRDefault="00000000" w:rsidRPr="00000000" w14:paraId="00000111">
      <w:pPr>
        <w:ind w:firstLine="1418"/>
        <w:rPr/>
      </w:pPr>
      <w:r w:rsidDel="00000000" w:rsidR="00000000" w:rsidRPr="00000000">
        <w:br w:type="page"/>
      </w:r>
      <w:r w:rsidDel="00000000" w:rsidR="00000000" w:rsidRPr="00000000">
        <w:rPr>
          <w:rtl w:val="0"/>
        </w:rPr>
      </w:r>
    </w:p>
    <w:p w:rsidR="00000000" w:rsidDel="00000000" w:rsidP="00000000" w:rsidRDefault="00000000" w:rsidRPr="00000000" w14:paraId="00000112">
      <w:pPr>
        <w:ind w:left="0" w:firstLine="0"/>
        <w:rPr>
          <w:b w:val="1"/>
          <w:sz w:val="32"/>
          <w:szCs w:val="32"/>
        </w:rPr>
      </w:pPr>
      <w:r w:rsidDel="00000000" w:rsidR="00000000" w:rsidRPr="00000000">
        <w:rPr>
          <w:b w:val="1"/>
          <w:sz w:val="32"/>
          <w:szCs w:val="32"/>
          <w:rtl w:val="0"/>
        </w:rPr>
        <w:t xml:space="preserve">Appendix 2: UK Public Sector / CNI Contract Information</w:t>
      </w:r>
    </w:p>
    <w:p w:rsidR="00000000" w:rsidDel="00000000" w:rsidP="00000000" w:rsidRDefault="00000000" w:rsidRPr="00000000" w14:paraId="00000113">
      <w:pPr>
        <w:numPr>
          <w:ilvl w:val="0"/>
          <w:numId w:val="5"/>
        </w:numPr>
        <w:pBdr>
          <w:top w:space="0" w:sz="0" w:val="nil"/>
          <w:left w:space="0" w:sz="0" w:val="nil"/>
          <w:bottom w:space="0" w:sz="0" w:val="nil"/>
          <w:right w:space="0" w:sz="0" w:val="nil"/>
          <w:between w:space="0" w:sz="0" w:val="nil"/>
        </w:pBdr>
        <w:ind w:left="720" w:hanging="720"/>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114">
      <w:pPr>
        <w:numPr>
          <w:ilvl w:val="1"/>
          <w:numId w:val="5"/>
        </w:numPr>
        <w:pBdr>
          <w:top w:space="0" w:sz="0" w:val="nil"/>
          <w:left w:space="0" w:sz="0" w:val="nil"/>
          <w:bottom w:space="0" w:sz="0" w:val="nil"/>
          <w:right w:space="0" w:sz="0" w:val="nil"/>
          <w:between w:space="0" w:sz="0" w:val="nil"/>
        </w:pBdr>
        <w:ind w:left="720" w:hanging="720"/>
        <w:rPr>
          <w:color w:val="000000"/>
          <w:sz w:val="24"/>
          <w:szCs w:val="24"/>
        </w:rPr>
      </w:pPr>
      <w:r w:rsidDel="00000000" w:rsidR="00000000" w:rsidRPr="00000000">
        <w:rPr>
          <w:color w:val="000000"/>
          <w:sz w:val="24"/>
          <w:szCs w:val="24"/>
          <w:rtl w:val="0"/>
        </w:rPr>
        <w:t xml:space="preserve">provide details of all agreements held by members of the Supplier Group where those agreements are for goods, services or works provision and:</w:t>
      </w:r>
    </w:p>
    <w:p w:rsidR="00000000" w:rsidDel="00000000" w:rsidP="00000000" w:rsidRDefault="00000000" w:rsidRPr="00000000" w14:paraId="00000115">
      <w:pPr>
        <w:numPr>
          <w:ilvl w:val="2"/>
          <w:numId w:val="5"/>
        </w:numPr>
        <w:pBdr>
          <w:top w:space="0" w:sz="0" w:val="nil"/>
          <w:left w:space="0" w:sz="0" w:val="nil"/>
          <w:bottom w:space="0" w:sz="0" w:val="nil"/>
          <w:right w:space="0" w:sz="0" w:val="nil"/>
          <w:between w:space="0" w:sz="0" w:val="nil"/>
        </w:pBdr>
        <w:ind w:left="1803" w:hanging="1083"/>
        <w:rPr>
          <w:color w:val="000000"/>
          <w:sz w:val="24"/>
          <w:szCs w:val="24"/>
        </w:rPr>
      </w:pPr>
      <w:r w:rsidDel="00000000" w:rsidR="00000000" w:rsidRPr="00000000">
        <w:rPr>
          <w:color w:val="000000"/>
          <w:sz w:val="24"/>
          <w:szCs w:val="24"/>
          <w:rtl w:val="0"/>
        </w:rPr>
        <w:t xml:space="preserve">are with any UK public sector bodies including: central Government departments and their arms-length bodies and agencies, non-departmental public bodies, NHS bodies, local authorities, health bodies, police fire and rescue, education bodies and the devolved administrations;</w:t>
      </w:r>
    </w:p>
    <w:p w:rsidR="00000000" w:rsidDel="00000000" w:rsidP="00000000" w:rsidRDefault="00000000" w:rsidRPr="00000000" w14:paraId="00000116">
      <w:pPr>
        <w:numPr>
          <w:ilvl w:val="2"/>
          <w:numId w:val="5"/>
        </w:numPr>
        <w:pBdr>
          <w:top w:space="0" w:sz="0" w:val="nil"/>
          <w:left w:space="0" w:sz="0" w:val="nil"/>
          <w:bottom w:space="0" w:sz="0" w:val="nil"/>
          <w:right w:space="0" w:sz="0" w:val="nil"/>
          <w:between w:space="0" w:sz="0" w:val="nil"/>
        </w:pBdr>
        <w:ind w:left="1803" w:hanging="1083"/>
        <w:rPr>
          <w:color w:val="000000"/>
          <w:sz w:val="24"/>
          <w:szCs w:val="24"/>
        </w:rPr>
      </w:pPr>
      <w:r w:rsidDel="00000000" w:rsidR="00000000" w:rsidRPr="00000000">
        <w:rPr>
          <w:color w:val="000000"/>
          <w:sz w:val="24"/>
          <w:szCs w:val="24"/>
          <w:rtl w:val="0"/>
        </w:rPr>
        <w:t xml:space="preserve">are with any private sector entities where the end recipient of the service, goods or works provision is any of the bodies set out in paragraph 1.1.1 of this Appendix 2 and where the member of the Supplier Group is acting as a key sub-contractor under the agreement with the end recipient; or</w:t>
      </w:r>
    </w:p>
    <w:p w:rsidR="00000000" w:rsidDel="00000000" w:rsidP="00000000" w:rsidRDefault="00000000" w:rsidRPr="00000000" w14:paraId="00000117">
      <w:pPr>
        <w:numPr>
          <w:ilvl w:val="2"/>
          <w:numId w:val="5"/>
        </w:numPr>
        <w:pBdr>
          <w:top w:space="0" w:sz="0" w:val="nil"/>
          <w:left w:space="0" w:sz="0" w:val="nil"/>
          <w:bottom w:space="0" w:sz="0" w:val="nil"/>
          <w:right w:space="0" w:sz="0" w:val="nil"/>
          <w:between w:space="0" w:sz="0" w:val="nil"/>
        </w:pBdr>
        <w:ind w:left="1803" w:hanging="1083"/>
        <w:rPr>
          <w:color w:val="000000"/>
          <w:sz w:val="24"/>
          <w:szCs w:val="24"/>
        </w:rPr>
      </w:pPr>
      <w:r w:rsidDel="00000000" w:rsidR="00000000" w:rsidRPr="00000000">
        <w:rPr>
          <w:color w:val="000000"/>
          <w:sz w:val="24"/>
          <w:szCs w:val="24"/>
          <w:rtl w:val="0"/>
        </w:rPr>
        <w:t xml:space="preserve">involve or could reasonably be considered to involve CNI;</w:t>
      </w:r>
    </w:p>
    <w:p w:rsidR="00000000" w:rsidDel="00000000" w:rsidP="00000000" w:rsidRDefault="00000000" w:rsidRPr="00000000" w14:paraId="00000118">
      <w:pPr>
        <w:numPr>
          <w:ilvl w:val="1"/>
          <w:numId w:val="5"/>
        </w:numPr>
        <w:pBdr>
          <w:top w:space="0" w:sz="0" w:val="nil"/>
          <w:left w:space="0" w:sz="0" w:val="nil"/>
          <w:bottom w:space="0" w:sz="0" w:val="nil"/>
          <w:right w:space="0" w:sz="0" w:val="nil"/>
          <w:between w:space="0" w:sz="0" w:val="nil"/>
        </w:pBdr>
        <w:ind w:left="720" w:hanging="720"/>
        <w:rPr>
          <w:color w:val="000000"/>
          <w:sz w:val="24"/>
          <w:szCs w:val="24"/>
        </w:rPr>
      </w:pPr>
      <w:r w:rsidDel="00000000" w:rsidR="00000000" w:rsidRPr="00000000">
        <w:rPr>
          <w:color w:val="000000"/>
          <w:sz w:val="24"/>
          <w:szCs w:val="24"/>
          <w:rtl w:val="0"/>
        </w:rPr>
        <w:t xml:space="preserve">provide the Appropriate Authority with a copy of the latest version of each underlying contract worth more than £5m per contract year and their related key sub-contracts, which shall be included as embedded documents within the CRP Information or via a directly accessible link.</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before="12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before="12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tabs>
        <w:tab w:val="center" w:pos="4513"/>
        <w:tab w:val="right" w:pos="9026"/>
      </w:tabs>
      <w:spacing w:after="0" w:lineRule="auto"/>
      <w:ind w:left="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DPS Ref: RM6264</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 xml:space="preserv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a6a6a6"/>
        <w:sz w:val="20"/>
        <w:szCs w:val="20"/>
      </w:rPr>
    </w:pPr>
    <w:r w:rsidDel="00000000" w:rsidR="00000000" w:rsidRPr="00000000">
      <w:rPr>
        <w:color w:val="000000"/>
        <w:sz w:val="20"/>
        <w:szCs w:val="20"/>
        <w:rtl w:val="0"/>
      </w:rPr>
      <w:t xml:space="preserve">Model Version: v1.1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Framework Ref: RM</w:t>
      <w:tab/>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ab/>
      <w:t xml:space="preserve">-</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Model Version: v2.9</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Order Schedule 8 (Business Continuity and Disaster Recovery)</w:t>
    </w:r>
    <w:r w:rsidDel="00000000" w:rsidR="00000000" w:rsidRPr="00000000">
      <w:rPr>
        <w:rtl w:val="0"/>
      </w:rPr>
    </w:r>
  </w:p>
  <w:p w:rsidR="00000000" w:rsidDel="00000000" w:rsidP="00000000" w:rsidRDefault="00000000" w:rsidRPr="00000000" w14:paraId="0000011D">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Order Ref:</w:t>
    </w:r>
  </w:p>
  <w:p w:rsidR="00000000" w:rsidDel="00000000" w:rsidP="00000000" w:rsidRDefault="00000000" w:rsidRPr="00000000" w14:paraId="0000011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 2022</w:t>
    </w:r>
  </w:p>
  <w:p w:rsidR="00000000" w:rsidDel="00000000" w:rsidP="00000000" w:rsidRDefault="00000000" w:rsidRPr="00000000" w14:paraId="0000011F">
    <w:pPr>
      <w:tabs>
        <w:tab w:val="center" w:pos="4513"/>
        <w:tab w:val="right" w:pos="9026"/>
      </w:tabs>
      <w:spacing w:after="0" w:lineRule="auto"/>
      <w:ind w:lef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cs="Calibri" w:eastAsia="Calibri" w:hAnsi="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lowerLetter"/>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cs="Arial" w:eastAsia="Arial" w:hAnsi="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1803" w:hanging="1083"/>
      </w:pPr>
      <w:rPr/>
    </w:lvl>
    <w:lvl w:ilvl="3">
      <w:start w:val="1"/>
      <w:numFmt w:val="lowerLetter"/>
      <w:lvlText w:val="(%4)"/>
      <w:lvlJc w:val="left"/>
      <w:pPr>
        <w:ind w:left="1803" w:hanging="1083"/>
      </w:pPr>
      <w:rPr/>
    </w:lvl>
    <w:lvl w:ilvl="4">
      <w:start w:val="1"/>
      <w:numFmt w:val="lowerRoman"/>
      <w:lvlText w:val="(%5)"/>
      <w:lvlJc w:val="left"/>
      <w:pPr>
        <w:ind w:left="2523" w:hanging="720"/>
      </w:pPr>
      <w:rPr/>
    </w:lvl>
    <w:lvl w:ilvl="5">
      <w:start w:val="1"/>
      <w:numFmt w:val="decimal"/>
      <w:lvlText w:val=""/>
      <w:lvlJc w:val="left"/>
      <w:pPr>
        <w:ind w:left="2523" w:hanging="720"/>
      </w:pPr>
      <w:rPr/>
    </w:lvl>
    <w:lvl w:ilvl="6">
      <w:start w:val="1"/>
      <w:numFmt w:val="decimal"/>
      <w:lvlText w:val=""/>
      <w:lvlJc w:val="left"/>
      <w:pPr>
        <w:ind w:left="2523" w:hanging="720"/>
      </w:pPr>
      <w:rPr/>
    </w:lvl>
    <w:lvl w:ilvl="7">
      <w:start w:val="1"/>
      <w:numFmt w:val="decimal"/>
      <w:lvlText w:val=""/>
      <w:lvlJc w:val="left"/>
      <w:pPr>
        <w:ind w:left="2523" w:hanging="720"/>
      </w:pPr>
      <w:rPr/>
    </w:lvl>
    <w:lvl w:ilvl="8">
      <w:start w:val="1"/>
      <w:numFmt w:val="decimal"/>
      <w:lvlText w:val=""/>
      <w:lvlJc w:val="left"/>
      <w:pPr>
        <w:ind w:left="2523" w:hanging="720"/>
      </w:pPr>
      <w:rPr/>
    </w:lvl>
  </w:abstractNum>
  <w:abstractNum w:abstractNumId="5">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1803" w:hanging="1083"/>
      </w:pPr>
      <w:rPr/>
    </w:lvl>
    <w:lvl w:ilvl="3">
      <w:start w:val="1"/>
      <w:numFmt w:val="lowerLetter"/>
      <w:lvlText w:val="(%4)"/>
      <w:lvlJc w:val="left"/>
      <w:pPr>
        <w:ind w:left="1803" w:hanging="1083"/>
      </w:pPr>
      <w:rPr/>
    </w:lvl>
    <w:lvl w:ilvl="4">
      <w:start w:val="1"/>
      <w:numFmt w:val="lowerRoman"/>
      <w:lvlText w:val="(%5)"/>
      <w:lvlJc w:val="left"/>
      <w:pPr>
        <w:ind w:left="2523" w:hanging="720"/>
      </w:pPr>
      <w:rPr/>
    </w:lvl>
    <w:lvl w:ilvl="5">
      <w:start w:val="1"/>
      <w:numFmt w:val="decimal"/>
      <w:lvlText w:val=""/>
      <w:lvlJc w:val="left"/>
      <w:pPr>
        <w:ind w:left="2523" w:hanging="720"/>
      </w:pPr>
      <w:rPr/>
    </w:lvl>
    <w:lvl w:ilvl="6">
      <w:start w:val="1"/>
      <w:numFmt w:val="decimal"/>
      <w:lvlText w:val=""/>
      <w:lvlJc w:val="left"/>
      <w:pPr>
        <w:ind w:left="2523" w:hanging="720"/>
      </w:pPr>
      <w:rPr/>
    </w:lvl>
    <w:lvl w:ilvl="7">
      <w:start w:val="1"/>
      <w:numFmt w:val="decimal"/>
      <w:lvlText w:val=""/>
      <w:lvlJc w:val="left"/>
      <w:pPr>
        <w:ind w:left="2523" w:hanging="720"/>
      </w:pPr>
      <w:rPr/>
    </w:lvl>
    <w:lvl w:ilvl="8">
      <w:start w:val="1"/>
      <w:numFmt w:val="decimal"/>
      <w:lvlText w:val=""/>
      <w:lvlJc w:val="left"/>
      <w:pPr>
        <w:ind w:left="2523" w:hanging="7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ind w:left="360" w:hanging="36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720" w:hanging="72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pPr>
    <w:rPr>
      <w:rFonts w:eastAsia="Times New Roman"/>
    </w:rPr>
  </w:style>
  <w:style w:type="table" w:styleId="TableGrid">
    <w:name w:val="Table Grid"/>
    <w:basedOn w:val="TableNormal"/>
    <w:uiPriority w:val="5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1745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ngFOqjgVzZmjm5cat+vNk8vdA==">AMUW2mWTrbkOZZ0bIDBT9o5ChROKPGMb3kNlMw49Iqvv5KrUgGdT5+5G/8TMw6XW6OMAvFAtf1HXqIhvtrlzyGCew7z6uVY2Nn/76CzO5T4n3Bg2ubKQrIbQqkjeVm3MP0wzxiN+ADgcVzKZvVYfibu4LpySkV7Cd6ZJzFcpGD7MzHAU7HvjO513wmgE1lie3eaerduc3vPGXbnNf4XOKwbD6fXfojjcXgUf6JpG5YuwQ3SQXSL0KWBrGCdZEbG4FzmFlqe3qC8OrKcmvHEmyXXX1kcRdEaA8VsQaYKqQRu/i/d8De6tXp2YRll8gXKyIsJNYejj59jy/CslbogkIwbWWX5VoKzXMOcgFTJzbCaQMHJqQjMV+gna0anenIBjQZm7DWbphBj5pC0uOu+vX/DHmPCWZ4K+7Jt7snLfc6Y0iiarFMemdisgsBlwu5f/Ofg9aoWF6n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2022-11-28T14:06:00Z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