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DPS Schedule 9 (Cyber Essentials Scheme)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9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Scheme"</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https://www.cyberessentials.ncsc.gov.uk/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Basic Certificate"</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Certificate"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Essentials Basic Certificate to be provided by the Supplier as set out on the Platform;</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 Scheme Data"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and personal information and other relevant information as referred to in the Cyber Essentials Scheme; and</w:t>
            </w: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Plus Certificate"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awarded on the basis of external testing by an independent certification body of the Supplier’s cyber security approach under the Cyber Essentials Scheme and is a more advanced level of assurance.</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Certification do you need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platform requires, the Supplier shall upon the Start Date and within 15 Working Days after the renewal of their Cyber Essentials Certificate, provide a valid Cyber Essentials Certificate to CCS. Where the Supplier fails to comply with this Paragraph it shall be prohibited from commencing the provision of Deliverables under any Contract until such time as the Supplier has evidenced to CCS its compliance with this Paragraph 2.1.</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highlight w:val="white"/>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continues to Process data during the Contract Period of any Order Contract the Supplier shall deliver to CCS evidence of renewal of the Cyber Essentials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due to Process data after the Start date of the first Order Contract but before the end of the DPS Period or Contract Period of the last Order Contract, the Supplier shall deliver to CCS evidence of:</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valid and current Cyber Essentials Certificate before the Supplier Processes any such Cyber Essentials Scheme Data; and</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fails to comply with Paragraphs 2.2 or 2.3 (as applicable), CCS reserves the right to terminate this Contract for material Default.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Sub-Contracts with Subcontractors who Process Cyber Essentials Scheme Data contain provisions no less onerous on the Subcontractors than those imposed on the Supplier under this Contract in respect of the Cyber Essentials Scheme under Paragraph 2.1 of this Schedule.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shall survive termination or expiry of this Contract and each and any Order Contract.</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DPS Ref: RM</w:t>
      <w:tab/>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v1.0</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DPS Schedule 9 (Cyber Essential Scheme)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DPS Schedule 9 (Cyber Essential Scheme)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pPr>
      <w:numPr>
        <w:numId w:val="2"/>
      </w:numPr>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30F4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1jo7vr+DDO5ksjil1UiTsbVWjg==">AMUW2mXCwmVVILqElPm/64qUo9BDRnCkz17yHE5HZ/OgIOYQDX6IKwudjQ3I3C+GQVFOoSbJAWGQAdni7M7p7sIRQB+OygjkEh2mphZptv4seetWlgUTukt/uiUy7oqi8OmXN+Md9YRqRtQw9yXCS4HOY6TOrrKvGk2ukZsILtCBXWcHQgqVFTM=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