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C80" w:rsidRDefault="00946C80" w:rsidP="003E518D">
      <w:pPr>
        <w:keepNext/>
        <w:pBdr>
          <w:top w:val="nil"/>
          <w:left w:val="nil"/>
          <w:bottom w:val="nil"/>
          <w:right w:val="nil"/>
          <w:between w:val="nil"/>
        </w:pBdr>
        <w:spacing w:after="240" w:line="240" w:lineRule="auto"/>
        <w:rPr>
          <w:rFonts w:ascii="Arial" w:eastAsia="Arial" w:hAnsi="Arial" w:cs="Arial"/>
          <w:b/>
          <w:color w:val="000000"/>
          <w:sz w:val="36"/>
          <w:szCs w:val="36"/>
        </w:rPr>
      </w:pPr>
    </w:p>
    <w:p w:rsidR="00F95220" w:rsidRPr="003E518D" w:rsidRDefault="00946C80" w:rsidP="003E518D">
      <w:pPr>
        <w:keepNext/>
        <w:pBdr>
          <w:top w:val="nil"/>
          <w:left w:val="nil"/>
          <w:bottom w:val="nil"/>
          <w:right w:val="nil"/>
          <w:between w:val="nil"/>
        </w:pBdr>
        <w:spacing w:after="240" w:line="240" w:lineRule="auto"/>
        <w:rPr>
          <w:rFonts w:ascii="Arial Bold" w:eastAsia="Arial Bold" w:hAnsi="Arial Bold" w:cs="Arial Bold"/>
          <w:b/>
          <w:color w:val="000000"/>
          <w:sz w:val="24"/>
          <w:szCs w:val="24"/>
        </w:rPr>
      </w:pPr>
      <w:bookmarkStart w:id="0" w:name="_GoBack"/>
      <w:bookmarkEnd w:id="0"/>
      <w:r>
        <w:rPr>
          <w:rFonts w:ascii="Arial Bold" w:eastAsia="Arial Bold" w:hAnsi="Arial Bold" w:cs="Arial Bold"/>
          <w:b/>
          <w:color w:val="000000"/>
          <w:sz w:val="36"/>
          <w:szCs w:val="36"/>
        </w:rPr>
        <w:t xml:space="preserve">RM6265 </w:t>
      </w:r>
      <w:r w:rsidR="005B4EBE">
        <w:rPr>
          <w:rFonts w:ascii="Arial Bold" w:eastAsia="Arial Bold" w:hAnsi="Arial Bold" w:cs="Arial Bold"/>
          <w:b/>
          <w:color w:val="000000"/>
          <w:sz w:val="36"/>
          <w:szCs w:val="36"/>
        </w:rPr>
        <w:t>Services Levels and Service Credits Table</w:t>
      </w:r>
      <w:r>
        <w:rPr>
          <w:rFonts w:ascii="Arial Bold" w:eastAsia="Arial Bold" w:hAnsi="Arial Bold" w:cs="Arial Bold"/>
          <w:b/>
          <w:color w:val="000000"/>
          <w:sz w:val="36"/>
          <w:szCs w:val="36"/>
        </w:rPr>
        <w:t xml:space="preserve"> (Part of </w:t>
      </w:r>
      <w:r>
        <w:rPr>
          <w:rFonts w:ascii="Arial" w:eastAsia="Arial" w:hAnsi="Arial" w:cs="Arial"/>
          <w:b/>
          <w:color w:val="000000"/>
          <w:sz w:val="36"/>
          <w:szCs w:val="36"/>
        </w:rPr>
        <w:t>Call-Off Schedule 14</w:t>
      </w:r>
      <w:r>
        <w:rPr>
          <w:rFonts w:ascii="Arial" w:eastAsia="Arial" w:hAnsi="Arial" w:cs="Arial"/>
          <w:b/>
          <w:color w:val="000000"/>
          <w:sz w:val="36"/>
          <w:szCs w:val="36"/>
        </w:rPr>
        <w:t>)</w:t>
      </w:r>
    </w:p>
    <w:tbl>
      <w:tblPr>
        <w:tblStyle w:val="a0"/>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276"/>
        <w:gridCol w:w="2977"/>
        <w:gridCol w:w="1417"/>
        <w:gridCol w:w="1564"/>
      </w:tblGrid>
      <w:tr w:rsidR="00F95220" w:rsidTr="003E518D">
        <w:trPr>
          <w:trHeight w:val="1213"/>
          <w:tblHeader/>
          <w:jc w:val="center"/>
        </w:trPr>
        <w:tc>
          <w:tcPr>
            <w:tcW w:w="6941" w:type="dxa"/>
            <w:gridSpan w:val="4"/>
            <w:shd w:val="clear" w:color="auto" w:fill="D9D9D9"/>
          </w:tcPr>
          <w:p w:rsidR="00F95220" w:rsidRDefault="005B4EBE">
            <w:pPr>
              <w:ind w:left="95"/>
              <w:rPr>
                <w:rFonts w:ascii="Arial" w:eastAsia="Arial" w:hAnsi="Arial" w:cs="Arial"/>
                <w:sz w:val="24"/>
                <w:szCs w:val="24"/>
              </w:rPr>
            </w:pPr>
            <w:r>
              <w:rPr>
                <w:rFonts w:ascii="Arial" w:eastAsia="Arial" w:hAnsi="Arial" w:cs="Arial"/>
                <w:sz w:val="24"/>
                <w:szCs w:val="24"/>
              </w:rPr>
              <w:t>Service Levels</w:t>
            </w:r>
          </w:p>
        </w:tc>
        <w:tc>
          <w:tcPr>
            <w:tcW w:w="1564" w:type="dxa"/>
            <w:vMerge w:val="restart"/>
            <w:shd w:val="clear" w:color="auto" w:fill="D9D9D9"/>
            <w:vAlign w:val="center"/>
          </w:tcPr>
          <w:p w:rsidR="00F95220" w:rsidRDefault="005B4EBE">
            <w:pPr>
              <w:ind w:left="95"/>
              <w:rPr>
                <w:rFonts w:ascii="Arial" w:eastAsia="Arial" w:hAnsi="Arial" w:cs="Arial"/>
                <w:sz w:val="24"/>
                <w:szCs w:val="24"/>
              </w:rPr>
            </w:pPr>
            <w:r>
              <w:rPr>
                <w:rFonts w:ascii="Arial" w:eastAsia="Arial" w:hAnsi="Arial" w:cs="Arial"/>
                <w:sz w:val="24"/>
                <w:szCs w:val="24"/>
              </w:rPr>
              <w:t>Service Credit for each Service Period</w:t>
            </w:r>
          </w:p>
          <w:p w:rsidR="00F95220" w:rsidRDefault="00F95220">
            <w:pPr>
              <w:ind w:left="95"/>
              <w:rPr>
                <w:rFonts w:ascii="Arial" w:eastAsia="Arial" w:hAnsi="Arial" w:cs="Arial"/>
                <w:sz w:val="24"/>
                <w:szCs w:val="24"/>
              </w:rPr>
            </w:pPr>
          </w:p>
        </w:tc>
      </w:tr>
      <w:tr w:rsidR="00F95220" w:rsidTr="003E518D">
        <w:trPr>
          <w:trHeight w:val="1213"/>
          <w:tblHeader/>
          <w:jc w:val="center"/>
        </w:trPr>
        <w:tc>
          <w:tcPr>
            <w:tcW w:w="1271" w:type="dxa"/>
            <w:shd w:val="clear" w:color="auto" w:fill="D9D9D9"/>
            <w:vAlign w:val="center"/>
          </w:tcPr>
          <w:p w:rsidR="00F95220" w:rsidRDefault="003E518D">
            <w:pPr>
              <w:ind w:left="61"/>
              <w:rPr>
                <w:rFonts w:ascii="Arial" w:eastAsia="Arial" w:hAnsi="Arial" w:cs="Arial"/>
                <w:sz w:val="24"/>
                <w:szCs w:val="24"/>
              </w:rPr>
            </w:pPr>
            <w:r>
              <w:rPr>
                <w:rFonts w:ascii="Arial" w:eastAsia="Arial" w:hAnsi="Arial" w:cs="Arial"/>
                <w:sz w:val="24"/>
                <w:szCs w:val="24"/>
              </w:rPr>
              <w:t>Number</w:t>
            </w:r>
          </w:p>
        </w:tc>
        <w:tc>
          <w:tcPr>
            <w:tcW w:w="1276" w:type="dxa"/>
            <w:shd w:val="clear" w:color="auto" w:fill="D9D9D9"/>
            <w:vAlign w:val="center"/>
          </w:tcPr>
          <w:p w:rsidR="00F95220" w:rsidRDefault="005B4EBE">
            <w:pPr>
              <w:ind w:left="95"/>
              <w:rPr>
                <w:rFonts w:ascii="Arial" w:eastAsia="Arial" w:hAnsi="Arial" w:cs="Arial"/>
                <w:sz w:val="24"/>
                <w:szCs w:val="24"/>
              </w:rPr>
            </w:pPr>
            <w:r>
              <w:rPr>
                <w:rFonts w:ascii="Arial" w:eastAsia="Arial" w:hAnsi="Arial" w:cs="Arial"/>
                <w:sz w:val="24"/>
                <w:szCs w:val="24"/>
              </w:rPr>
              <w:t>Key Indicator</w:t>
            </w:r>
          </w:p>
        </w:tc>
        <w:tc>
          <w:tcPr>
            <w:tcW w:w="2977" w:type="dxa"/>
            <w:shd w:val="clear" w:color="auto" w:fill="D9D9D9"/>
            <w:vAlign w:val="center"/>
          </w:tcPr>
          <w:p w:rsidR="00F95220" w:rsidRDefault="005B4EBE">
            <w:pPr>
              <w:rPr>
                <w:rFonts w:ascii="Arial" w:eastAsia="Arial" w:hAnsi="Arial" w:cs="Arial"/>
                <w:sz w:val="24"/>
                <w:szCs w:val="24"/>
              </w:rPr>
            </w:pPr>
            <w:r>
              <w:rPr>
                <w:rFonts w:ascii="Arial" w:eastAsia="Arial" w:hAnsi="Arial" w:cs="Arial"/>
                <w:sz w:val="24"/>
                <w:szCs w:val="24"/>
              </w:rPr>
              <w:t>Service Level Performance Measure</w:t>
            </w:r>
          </w:p>
        </w:tc>
        <w:tc>
          <w:tcPr>
            <w:tcW w:w="1417" w:type="dxa"/>
            <w:shd w:val="clear" w:color="auto" w:fill="D9D9D9"/>
          </w:tcPr>
          <w:p w:rsidR="00F95220" w:rsidRDefault="005B4EBE">
            <w:pPr>
              <w:ind w:left="95"/>
              <w:rPr>
                <w:rFonts w:ascii="Arial" w:eastAsia="Arial" w:hAnsi="Arial" w:cs="Arial"/>
                <w:sz w:val="24"/>
                <w:szCs w:val="24"/>
              </w:rPr>
            </w:pPr>
            <w:r>
              <w:rPr>
                <w:rFonts w:ascii="Arial" w:eastAsia="Arial" w:hAnsi="Arial" w:cs="Arial"/>
                <w:sz w:val="24"/>
                <w:szCs w:val="24"/>
              </w:rPr>
              <w:t>Service Level Threshold</w:t>
            </w:r>
          </w:p>
        </w:tc>
        <w:tc>
          <w:tcPr>
            <w:tcW w:w="1564" w:type="dxa"/>
            <w:vMerge/>
            <w:shd w:val="clear" w:color="auto" w:fill="D9D9D9"/>
            <w:vAlign w:val="center"/>
          </w:tcPr>
          <w:p w:rsidR="00F95220" w:rsidRDefault="00F95220">
            <w:pPr>
              <w:widowControl w:val="0"/>
              <w:pBdr>
                <w:top w:val="nil"/>
                <w:left w:val="nil"/>
                <w:bottom w:val="nil"/>
                <w:right w:val="nil"/>
                <w:between w:val="nil"/>
              </w:pBdr>
              <w:spacing w:after="0"/>
              <w:rPr>
                <w:rFonts w:ascii="Arial" w:eastAsia="Arial" w:hAnsi="Arial" w:cs="Arial"/>
                <w:sz w:val="24"/>
                <w:szCs w:val="24"/>
              </w:rPr>
            </w:pPr>
          </w:p>
        </w:tc>
      </w:tr>
      <w:tr w:rsidR="00F95220" w:rsidTr="003E518D">
        <w:trPr>
          <w:trHeight w:val="4505"/>
          <w:jc w:val="center"/>
        </w:trPr>
        <w:tc>
          <w:tcPr>
            <w:tcW w:w="127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5220" w:rsidRDefault="005B4EBE">
            <w:pPr>
              <w:spacing w:before="240" w:after="240"/>
              <w:jc w:val="center"/>
              <w:rPr>
                <w:rFonts w:ascii="Arial" w:eastAsia="Arial" w:hAnsi="Arial" w:cs="Arial"/>
                <w:sz w:val="20"/>
                <w:szCs w:val="20"/>
              </w:rPr>
            </w:pPr>
            <w:r>
              <w:rPr>
                <w:rFonts w:ascii="Arial" w:eastAsia="Arial" w:hAnsi="Arial" w:cs="Arial"/>
                <w:sz w:val="20"/>
                <w:szCs w:val="20"/>
              </w:rPr>
              <w:t>1</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5220" w:rsidRDefault="005B4EBE">
            <w:pPr>
              <w:spacing w:before="240" w:after="240"/>
              <w:rPr>
                <w:rFonts w:ascii="Arial" w:eastAsia="Arial" w:hAnsi="Arial" w:cs="Arial"/>
                <w:sz w:val="20"/>
                <w:szCs w:val="20"/>
              </w:rPr>
            </w:pPr>
            <w:r>
              <w:rPr>
                <w:rFonts w:ascii="Arial" w:eastAsia="Arial" w:hAnsi="Arial" w:cs="Arial"/>
                <w:sz w:val="20"/>
                <w:szCs w:val="20"/>
              </w:rPr>
              <w:t>Vehicle Availability</w:t>
            </w:r>
          </w:p>
        </w:tc>
        <w:tc>
          <w:tcPr>
            <w:tcW w:w="297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5220" w:rsidRDefault="005B4EBE">
            <w:pPr>
              <w:spacing w:before="240" w:after="240"/>
              <w:rPr>
                <w:rFonts w:ascii="Arial" w:eastAsia="Arial" w:hAnsi="Arial" w:cs="Arial"/>
                <w:sz w:val="16"/>
                <w:szCs w:val="16"/>
              </w:rPr>
            </w:pPr>
            <w:r>
              <w:rPr>
                <w:rFonts w:ascii="Arial" w:eastAsia="Arial" w:hAnsi="Arial" w:cs="Arial"/>
                <w:sz w:val="20"/>
                <w:szCs w:val="20"/>
              </w:rPr>
              <w:t>F</w:t>
            </w:r>
            <w:r>
              <w:rPr>
                <w:rFonts w:ascii="Arial" w:eastAsia="Arial" w:hAnsi="Arial" w:cs="Arial"/>
                <w:sz w:val="20"/>
                <w:szCs w:val="20"/>
              </w:rPr>
              <w:t xml:space="preserve">ulfilling a booking in relation to supply of the correct specification/group of </w:t>
            </w:r>
            <w:proofErr w:type="gramStart"/>
            <w:r>
              <w:rPr>
                <w:rFonts w:ascii="Arial" w:eastAsia="Arial" w:hAnsi="Arial" w:cs="Arial"/>
                <w:sz w:val="20"/>
                <w:szCs w:val="20"/>
              </w:rPr>
              <w:t>vehicle</w:t>
            </w:r>
            <w:proofErr w:type="gramEnd"/>
            <w:r>
              <w:rPr>
                <w:rFonts w:ascii="Arial" w:eastAsia="Arial" w:hAnsi="Arial" w:cs="Arial"/>
                <w:sz w:val="20"/>
                <w:szCs w:val="20"/>
              </w:rPr>
              <w:t>, within the ordered timeframe, or offering an alternative vehicle specification/group or delivery means, which is acceptable to the customer</w:t>
            </w:r>
            <w:r>
              <w:rPr>
                <w:rFonts w:ascii="Arial" w:eastAsia="Arial" w:hAnsi="Arial" w:cs="Arial"/>
                <w:sz w:val="16"/>
                <w:szCs w:val="16"/>
              </w:rPr>
              <w:t>.</w:t>
            </w:r>
          </w:p>
          <w:p w:rsidR="00F95220" w:rsidRDefault="005B4EBE">
            <w:pPr>
              <w:spacing w:before="240" w:after="240"/>
              <w:rPr>
                <w:rFonts w:ascii="Arial" w:eastAsia="Arial" w:hAnsi="Arial" w:cs="Arial"/>
                <w:sz w:val="20"/>
                <w:szCs w:val="20"/>
              </w:rPr>
            </w:pPr>
            <w:r>
              <w:rPr>
                <w:rFonts w:ascii="Arial" w:eastAsia="Arial" w:hAnsi="Arial" w:cs="Arial"/>
                <w:sz w:val="20"/>
                <w:szCs w:val="20"/>
              </w:rPr>
              <w:t xml:space="preserve">Suppliers are required to </w:t>
            </w:r>
            <w:r>
              <w:rPr>
                <w:rFonts w:ascii="Arial" w:eastAsia="Arial" w:hAnsi="Arial" w:cs="Arial"/>
                <w:sz w:val="20"/>
                <w:szCs w:val="20"/>
              </w:rPr>
              <w:t xml:space="preserve">provide evidence of vehicle booked compared with vehicle offered/supplied including when cancelled or not delivered by the Supplier.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5220" w:rsidRDefault="005B4EBE">
            <w:pPr>
              <w:spacing w:before="240" w:after="240"/>
              <w:ind w:firstLine="200"/>
              <w:rPr>
                <w:rFonts w:ascii="Arial" w:eastAsia="Arial" w:hAnsi="Arial" w:cs="Arial"/>
                <w:b/>
                <w:sz w:val="16"/>
                <w:szCs w:val="16"/>
              </w:rPr>
            </w:pPr>
            <w:r>
              <w:rPr>
                <w:rFonts w:ascii="Arial" w:eastAsia="Arial" w:hAnsi="Arial" w:cs="Arial"/>
                <w:sz w:val="20"/>
                <w:szCs w:val="20"/>
              </w:rPr>
              <w:t>98%</w:t>
            </w:r>
          </w:p>
        </w:tc>
        <w:tc>
          <w:tcPr>
            <w:tcW w:w="1564" w:type="dxa"/>
          </w:tcPr>
          <w:p w:rsidR="00F95220" w:rsidRDefault="005B4EBE">
            <w:pPr>
              <w:spacing w:after="120"/>
              <w:ind w:left="95"/>
              <w:rPr>
                <w:rFonts w:ascii="Arial" w:eastAsia="Arial" w:hAnsi="Arial" w:cs="Arial"/>
                <w:sz w:val="20"/>
                <w:szCs w:val="20"/>
              </w:rPr>
            </w:pPr>
            <w:r>
              <w:rPr>
                <w:rFonts w:ascii="Arial" w:eastAsia="Arial" w:hAnsi="Arial" w:cs="Arial"/>
                <w:sz w:val="20"/>
                <w:szCs w:val="20"/>
              </w:rPr>
              <w:t>0.5% Service Credit gained for each percentage under the specified Service Level Performance Measure</w:t>
            </w:r>
          </w:p>
        </w:tc>
      </w:tr>
      <w:tr w:rsidR="00F95220" w:rsidTr="003E518D">
        <w:trPr>
          <w:trHeight w:val="712"/>
          <w:jc w:val="center"/>
        </w:trPr>
        <w:tc>
          <w:tcPr>
            <w:tcW w:w="1271" w:type="dxa"/>
          </w:tcPr>
          <w:p w:rsidR="00F95220" w:rsidRDefault="005B4EBE">
            <w:pPr>
              <w:spacing w:after="120"/>
              <w:ind w:left="61"/>
              <w:jc w:val="center"/>
              <w:rPr>
                <w:rFonts w:ascii="Arial" w:eastAsia="Arial" w:hAnsi="Arial" w:cs="Arial"/>
                <w:sz w:val="20"/>
                <w:szCs w:val="20"/>
              </w:rPr>
            </w:pPr>
            <w:r>
              <w:rPr>
                <w:rFonts w:ascii="Arial" w:eastAsia="Arial" w:hAnsi="Arial" w:cs="Arial"/>
                <w:sz w:val="20"/>
                <w:szCs w:val="20"/>
              </w:rPr>
              <w:t>2</w:t>
            </w:r>
          </w:p>
          <w:p w:rsidR="00F95220" w:rsidRDefault="00F95220">
            <w:pPr>
              <w:spacing w:after="120"/>
              <w:ind w:left="61"/>
              <w:rPr>
                <w:rFonts w:ascii="Arial" w:eastAsia="Arial" w:hAnsi="Arial" w:cs="Arial"/>
                <w:sz w:val="20"/>
                <w:szCs w:val="20"/>
              </w:rPr>
            </w:pPr>
          </w:p>
        </w:tc>
        <w:tc>
          <w:tcPr>
            <w:tcW w:w="1276" w:type="dxa"/>
          </w:tcPr>
          <w:p w:rsidR="00F95220" w:rsidRDefault="005B4EBE">
            <w:pPr>
              <w:spacing w:after="120"/>
              <w:ind w:left="95"/>
              <w:rPr>
                <w:rFonts w:ascii="Arial" w:eastAsia="Arial" w:hAnsi="Arial" w:cs="Arial"/>
                <w:sz w:val="20"/>
                <w:szCs w:val="20"/>
              </w:rPr>
            </w:pPr>
            <w:r>
              <w:rPr>
                <w:rFonts w:ascii="Arial" w:eastAsia="Arial" w:hAnsi="Arial" w:cs="Arial"/>
                <w:sz w:val="20"/>
                <w:szCs w:val="20"/>
              </w:rPr>
              <w:t xml:space="preserve">Invoicing </w:t>
            </w:r>
          </w:p>
          <w:p w:rsidR="00F95220" w:rsidRDefault="00F95220">
            <w:pPr>
              <w:spacing w:after="120"/>
              <w:ind w:left="95"/>
              <w:rPr>
                <w:rFonts w:ascii="Arial" w:eastAsia="Arial" w:hAnsi="Arial" w:cs="Arial"/>
                <w:sz w:val="20"/>
                <w:szCs w:val="20"/>
              </w:rPr>
            </w:pPr>
          </w:p>
          <w:p w:rsidR="00F95220" w:rsidRDefault="00F95220">
            <w:pPr>
              <w:spacing w:after="120"/>
              <w:ind w:left="95"/>
              <w:rPr>
                <w:rFonts w:ascii="Arial" w:eastAsia="Arial" w:hAnsi="Arial" w:cs="Arial"/>
                <w:sz w:val="20"/>
                <w:szCs w:val="20"/>
              </w:rPr>
            </w:pPr>
          </w:p>
        </w:tc>
        <w:tc>
          <w:tcPr>
            <w:tcW w:w="2977" w:type="dxa"/>
          </w:tcPr>
          <w:p w:rsidR="00F95220" w:rsidRDefault="005B4EBE">
            <w:pPr>
              <w:spacing w:before="240" w:after="240"/>
              <w:rPr>
                <w:rFonts w:ascii="Arial" w:eastAsia="Arial" w:hAnsi="Arial" w:cs="Arial"/>
                <w:sz w:val="20"/>
                <w:szCs w:val="20"/>
              </w:rPr>
            </w:pPr>
            <w:r>
              <w:rPr>
                <w:rFonts w:ascii="Arial" w:eastAsia="Arial" w:hAnsi="Arial" w:cs="Arial"/>
                <w:sz w:val="20"/>
                <w:szCs w:val="20"/>
              </w:rPr>
              <w:t>The Supplier shall provide Buyers with accurate invoices each month.</w:t>
            </w:r>
          </w:p>
          <w:p w:rsidR="00F95220" w:rsidRDefault="005B4EBE">
            <w:pPr>
              <w:spacing w:before="240" w:after="240"/>
              <w:rPr>
                <w:rFonts w:ascii="Arial" w:eastAsia="Arial" w:hAnsi="Arial" w:cs="Arial"/>
                <w:sz w:val="20"/>
                <w:szCs w:val="20"/>
              </w:rPr>
            </w:pPr>
            <w:r>
              <w:rPr>
                <w:rFonts w:ascii="Arial" w:eastAsia="Arial" w:hAnsi="Arial" w:cs="Arial"/>
                <w:sz w:val="20"/>
                <w:szCs w:val="20"/>
              </w:rPr>
              <w:t xml:space="preserve">Accuracy is based on all lines being reported with no errors, resulting in an undisputed consolidated invoice. </w:t>
            </w:r>
          </w:p>
          <w:p w:rsidR="00F95220" w:rsidRDefault="00F95220">
            <w:pPr>
              <w:spacing w:after="120"/>
              <w:rPr>
                <w:rFonts w:ascii="Arial" w:eastAsia="Arial" w:hAnsi="Arial" w:cs="Arial"/>
                <w:sz w:val="20"/>
                <w:szCs w:val="20"/>
              </w:rPr>
            </w:pPr>
          </w:p>
        </w:tc>
        <w:tc>
          <w:tcPr>
            <w:tcW w:w="1417" w:type="dxa"/>
          </w:tcPr>
          <w:p w:rsidR="00F95220" w:rsidRPr="003E518D" w:rsidRDefault="005B4EBE" w:rsidP="003E518D">
            <w:pPr>
              <w:spacing w:before="240" w:after="240"/>
              <w:rPr>
                <w:rFonts w:ascii="Arial" w:eastAsia="Arial" w:hAnsi="Arial" w:cs="Arial"/>
                <w:sz w:val="20"/>
                <w:szCs w:val="20"/>
              </w:rPr>
            </w:pPr>
            <w:r>
              <w:rPr>
                <w:rFonts w:ascii="Arial" w:eastAsia="Arial" w:hAnsi="Arial" w:cs="Arial"/>
                <w:sz w:val="20"/>
                <w:szCs w:val="20"/>
              </w:rPr>
              <w:t xml:space="preserve">80% (4 out of 5) of monthly reports accurate over a </w:t>
            </w:r>
            <w:proofErr w:type="gramStart"/>
            <w:r>
              <w:rPr>
                <w:rFonts w:ascii="Arial" w:eastAsia="Arial" w:hAnsi="Arial" w:cs="Arial"/>
                <w:sz w:val="20"/>
                <w:szCs w:val="20"/>
              </w:rPr>
              <w:t>5 month</w:t>
            </w:r>
            <w:proofErr w:type="gramEnd"/>
            <w:r>
              <w:rPr>
                <w:rFonts w:ascii="Arial" w:eastAsia="Arial" w:hAnsi="Arial" w:cs="Arial"/>
                <w:sz w:val="20"/>
                <w:szCs w:val="20"/>
              </w:rPr>
              <w:t xml:space="preserve"> period. Each </w:t>
            </w:r>
            <w:r>
              <w:rPr>
                <w:rFonts w:ascii="Arial" w:eastAsia="Arial" w:hAnsi="Arial" w:cs="Arial"/>
                <w:sz w:val="20"/>
                <w:szCs w:val="20"/>
              </w:rPr>
              <w:t>monthly invoice carries 20% weighting</w:t>
            </w:r>
          </w:p>
        </w:tc>
        <w:tc>
          <w:tcPr>
            <w:tcW w:w="1564" w:type="dxa"/>
          </w:tcPr>
          <w:p w:rsidR="00F95220" w:rsidRDefault="005B4EBE">
            <w:pPr>
              <w:spacing w:after="120"/>
              <w:ind w:left="95"/>
              <w:rPr>
                <w:rFonts w:ascii="Arial" w:eastAsia="Arial" w:hAnsi="Arial" w:cs="Arial"/>
                <w:sz w:val="20"/>
                <w:szCs w:val="20"/>
              </w:rPr>
            </w:pPr>
            <w:r>
              <w:rPr>
                <w:rFonts w:ascii="Arial" w:eastAsia="Arial" w:hAnsi="Arial" w:cs="Arial"/>
                <w:sz w:val="20"/>
                <w:szCs w:val="20"/>
              </w:rPr>
              <w:t>0.2% Service Credit gained for each percentage under the specified Service Level Performance Measure</w:t>
            </w:r>
          </w:p>
        </w:tc>
      </w:tr>
      <w:tr w:rsidR="00F95220" w:rsidTr="003E518D">
        <w:trPr>
          <w:trHeight w:val="1474"/>
          <w:jc w:val="center"/>
        </w:trPr>
        <w:tc>
          <w:tcPr>
            <w:tcW w:w="1271" w:type="dxa"/>
          </w:tcPr>
          <w:p w:rsidR="00F95220" w:rsidRDefault="005B4EBE">
            <w:pPr>
              <w:spacing w:after="120"/>
              <w:ind w:left="61"/>
              <w:rPr>
                <w:rFonts w:ascii="Arial" w:eastAsia="Arial" w:hAnsi="Arial" w:cs="Arial"/>
                <w:sz w:val="20"/>
                <w:szCs w:val="20"/>
              </w:rPr>
            </w:pPr>
            <w:r>
              <w:rPr>
                <w:rFonts w:ascii="Arial" w:eastAsia="Arial" w:hAnsi="Arial" w:cs="Arial"/>
                <w:sz w:val="20"/>
                <w:szCs w:val="20"/>
              </w:rPr>
              <w:lastRenderedPageBreak/>
              <w:t>3</w:t>
            </w:r>
          </w:p>
        </w:tc>
        <w:tc>
          <w:tcPr>
            <w:tcW w:w="1276" w:type="dxa"/>
          </w:tcPr>
          <w:p w:rsidR="00F95220" w:rsidRDefault="005B4EBE">
            <w:pPr>
              <w:spacing w:after="120"/>
              <w:ind w:left="95"/>
              <w:rPr>
                <w:rFonts w:ascii="Arial" w:eastAsia="Arial" w:hAnsi="Arial" w:cs="Arial"/>
                <w:sz w:val="20"/>
                <w:szCs w:val="20"/>
              </w:rPr>
            </w:pPr>
            <w:r>
              <w:rPr>
                <w:rFonts w:ascii="Arial" w:eastAsia="Arial" w:hAnsi="Arial" w:cs="Arial"/>
                <w:sz w:val="20"/>
                <w:szCs w:val="20"/>
              </w:rPr>
              <w:t>Vehicle traffic violations</w:t>
            </w:r>
          </w:p>
        </w:tc>
        <w:tc>
          <w:tcPr>
            <w:tcW w:w="2977" w:type="dxa"/>
          </w:tcPr>
          <w:p w:rsidR="00F95220" w:rsidRDefault="005B4EBE">
            <w:pPr>
              <w:spacing w:before="240" w:after="240"/>
              <w:rPr>
                <w:rFonts w:ascii="Arial" w:eastAsia="Arial" w:hAnsi="Arial" w:cs="Arial"/>
                <w:sz w:val="20"/>
                <w:szCs w:val="20"/>
              </w:rPr>
            </w:pPr>
            <w:r>
              <w:rPr>
                <w:rFonts w:ascii="Arial" w:eastAsia="Arial" w:hAnsi="Arial" w:cs="Arial"/>
                <w:sz w:val="20"/>
                <w:szCs w:val="20"/>
              </w:rPr>
              <w:t>Supplier payment of issued fines within initial permitted period set out by the penalties clerk and Supplier contacting Buyer on 100% of occasions within 48 hours to advise of correspondence, summons or fine issue, to enable the Buyer to appeal directly to</w:t>
            </w:r>
            <w:r>
              <w:rPr>
                <w:rFonts w:ascii="Arial" w:eastAsia="Arial" w:hAnsi="Arial" w:cs="Arial"/>
                <w:sz w:val="20"/>
                <w:szCs w:val="20"/>
              </w:rPr>
              <w:t xml:space="preserve"> the penalty clerk, where required</w:t>
            </w:r>
          </w:p>
        </w:tc>
        <w:tc>
          <w:tcPr>
            <w:tcW w:w="1417" w:type="dxa"/>
          </w:tcPr>
          <w:p w:rsidR="00F95220" w:rsidRDefault="005B4EBE">
            <w:pPr>
              <w:spacing w:after="120"/>
              <w:ind w:left="95"/>
              <w:rPr>
                <w:rFonts w:ascii="Arial" w:eastAsia="Arial" w:hAnsi="Arial" w:cs="Arial"/>
                <w:sz w:val="20"/>
                <w:szCs w:val="20"/>
              </w:rPr>
            </w:pPr>
            <w:r>
              <w:rPr>
                <w:rFonts w:ascii="Arial" w:eastAsia="Arial" w:hAnsi="Arial" w:cs="Arial"/>
                <w:sz w:val="20"/>
                <w:szCs w:val="20"/>
              </w:rPr>
              <w:t>100%</w:t>
            </w:r>
          </w:p>
        </w:tc>
        <w:tc>
          <w:tcPr>
            <w:tcW w:w="1564" w:type="dxa"/>
          </w:tcPr>
          <w:p w:rsidR="00F95220" w:rsidRDefault="005B4EBE">
            <w:pPr>
              <w:spacing w:after="120"/>
              <w:ind w:left="95"/>
              <w:rPr>
                <w:rFonts w:ascii="Arial" w:eastAsia="Arial" w:hAnsi="Arial" w:cs="Arial"/>
                <w:sz w:val="20"/>
                <w:szCs w:val="20"/>
              </w:rPr>
            </w:pPr>
            <w:r>
              <w:rPr>
                <w:rFonts w:ascii="Arial" w:eastAsia="Arial" w:hAnsi="Arial" w:cs="Arial"/>
                <w:sz w:val="20"/>
                <w:szCs w:val="20"/>
              </w:rPr>
              <w:t>0.5% Service Credit gained for each percentage under the specified Service Level Performance Measure</w:t>
            </w:r>
          </w:p>
        </w:tc>
      </w:tr>
      <w:tr w:rsidR="00F95220" w:rsidTr="003E518D">
        <w:trPr>
          <w:trHeight w:val="1474"/>
          <w:jc w:val="center"/>
        </w:trPr>
        <w:tc>
          <w:tcPr>
            <w:tcW w:w="1271" w:type="dxa"/>
          </w:tcPr>
          <w:p w:rsidR="00F95220" w:rsidRDefault="005B4EBE">
            <w:pPr>
              <w:spacing w:after="120"/>
              <w:ind w:left="61"/>
              <w:rPr>
                <w:rFonts w:ascii="Arial" w:eastAsia="Arial" w:hAnsi="Arial" w:cs="Arial"/>
                <w:sz w:val="20"/>
                <w:szCs w:val="20"/>
              </w:rPr>
            </w:pPr>
            <w:r>
              <w:rPr>
                <w:rFonts w:ascii="Arial" w:eastAsia="Arial" w:hAnsi="Arial" w:cs="Arial"/>
                <w:sz w:val="20"/>
                <w:szCs w:val="20"/>
              </w:rPr>
              <w:t>4</w:t>
            </w:r>
          </w:p>
        </w:tc>
        <w:tc>
          <w:tcPr>
            <w:tcW w:w="1276" w:type="dxa"/>
          </w:tcPr>
          <w:p w:rsidR="00F95220" w:rsidRDefault="005B4EBE">
            <w:pPr>
              <w:spacing w:after="120"/>
              <w:ind w:left="95"/>
              <w:rPr>
                <w:rFonts w:ascii="Arial" w:eastAsia="Arial" w:hAnsi="Arial" w:cs="Arial"/>
                <w:sz w:val="20"/>
                <w:szCs w:val="20"/>
              </w:rPr>
            </w:pPr>
            <w:r>
              <w:rPr>
                <w:rFonts w:ascii="Arial" w:eastAsia="Arial" w:hAnsi="Arial" w:cs="Arial"/>
                <w:sz w:val="20"/>
                <w:szCs w:val="20"/>
              </w:rPr>
              <w:t>Social Value Review</w:t>
            </w:r>
          </w:p>
        </w:tc>
        <w:tc>
          <w:tcPr>
            <w:tcW w:w="2977" w:type="dxa"/>
          </w:tcPr>
          <w:p w:rsidR="00F95220" w:rsidRDefault="005B4EBE">
            <w:pPr>
              <w:spacing w:before="240" w:after="240"/>
              <w:rPr>
                <w:rFonts w:ascii="Arial" w:eastAsia="Arial" w:hAnsi="Arial" w:cs="Arial"/>
                <w:sz w:val="20"/>
                <w:szCs w:val="20"/>
              </w:rPr>
            </w:pPr>
            <w:r>
              <w:rPr>
                <w:rFonts w:ascii="Arial" w:eastAsia="Arial" w:hAnsi="Arial" w:cs="Arial"/>
                <w:sz w:val="20"/>
                <w:szCs w:val="20"/>
              </w:rPr>
              <w:t xml:space="preserve">For contracts where a Further Competition took place or Direct Awards over £100,000 spend per annum, on-time submission of an annual Social Value Review no later than one month following the anniversary of the Call-Off Contract go-live date. </w:t>
            </w:r>
          </w:p>
        </w:tc>
        <w:tc>
          <w:tcPr>
            <w:tcW w:w="1417" w:type="dxa"/>
          </w:tcPr>
          <w:p w:rsidR="00F95220" w:rsidRDefault="005B4EBE">
            <w:pPr>
              <w:spacing w:after="120"/>
              <w:ind w:left="95"/>
              <w:rPr>
                <w:rFonts w:ascii="Arial" w:eastAsia="Arial" w:hAnsi="Arial" w:cs="Arial"/>
                <w:sz w:val="20"/>
                <w:szCs w:val="20"/>
              </w:rPr>
            </w:pPr>
            <w:r>
              <w:rPr>
                <w:rFonts w:ascii="Arial" w:eastAsia="Arial" w:hAnsi="Arial" w:cs="Arial"/>
                <w:sz w:val="20"/>
                <w:szCs w:val="20"/>
              </w:rPr>
              <w:t>100%</w:t>
            </w:r>
          </w:p>
        </w:tc>
        <w:tc>
          <w:tcPr>
            <w:tcW w:w="1564" w:type="dxa"/>
          </w:tcPr>
          <w:p w:rsidR="00F95220" w:rsidRDefault="005B4EBE">
            <w:pPr>
              <w:spacing w:after="120"/>
              <w:ind w:left="95"/>
              <w:rPr>
                <w:rFonts w:ascii="Arial" w:eastAsia="Arial" w:hAnsi="Arial" w:cs="Arial"/>
                <w:sz w:val="20"/>
                <w:szCs w:val="20"/>
              </w:rPr>
            </w:pPr>
            <w:r>
              <w:rPr>
                <w:rFonts w:ascii="Arial" w:eastAsia="Arial" w:hAnsi="Arial" w:cs="Arial"/>
                <w:sz w:val="20"/>
                <w:szCs w:val="20"/>
              </w:rPr>
              <w:t>N/A</w:t>
            </w:r>
          </w:p>
        </w:tc>
      </w:tr>
    </w:tbl>
    <w:p w:rsidR="00F95220" w:rsidRDefault="00F95220">
      <w:pPr>
        <w:ind w:left="709"/>
        <w:rPr>
          <w:rFonts w:ascii="Arial" w:eastAsia="Arial" w:hAnsi="Arial" w:cs="Arial"/>
          <w:sz w:val="24"/>
          <w:szCs w:val="24"/>
          <w:highlight w:val="green"/>
        </w:rPr>
      </w:pPr>
    </w:p>
    <w:p w:rsidR="00F95220" w:rsidRPr="003E518D" w:rsidRDefault="005B4EBE" w:rsidP="003E518D">
      <w:pPr>
        <w:ind w:left="709"/>
        <w:rPr>
          <w:rFonts w:ascii="Arial" w:eastAsia="Arial" w:hAnsi="Arial" w:cs="Arial"/>
          <w:sz w:val="24"/>
          <w:szCs w:val="24"/>
        </w:rPr>
      </w:pPr>
      <w:r>
        <w:rPr>
          <w:rFonts w:ascii="Arial" w:eastAsia="Arial" w:hAnsi="Arial" w:cs="Arial"/>
          <w:sz w:val="24"/>
          <w:szCs w:val="24"/>
        </w:rPr>
        <w:t>Th</w:t>
      </w:r>
      <w:r>
        <w:rPr>
          <w:rFonts w:ascii="Arial" w:eastAsia="Arial" w:hAnsi="Arial" w:cs="Arial"/>
          <w:sz w:val="24"/>
          <w:szCs w:val="24"/>
        </w:rPr>
        <w:t>e Service Credits shall be calculated on the basis of the following formula:</w:t>
      </w:r>
    </w:p>
    <w:tbl>
      <w:tblPr>
        <w:tblStyle w:val="a1"/>
        <w:tblW w:w="9026" w:type="dxa"/>
        <w:tblLayout w:type="fixed"/>
        <w:tblLook w:val="0000" w:firstRow="0" w:lastRow="0" w:firstColumn="0" w:lastColumn="0" w:noHBand="0" w:noVBand="0"/>
      </w:tblPr>
      <w:tblGrid>
        <w:gridCol w:w="4375"/>
        <w:gridCol w:w="685"/>
        <w:gridCol w:w="3966"/>
      </w:tblGrid>
      <w:tr w:rsidR="00F95220">
        <w:tc>
          <w:tcPr>
            <w:tcW w:w="4375" w:type="dxa"/>
          </w:tcPr>
          <w:p w:rsidR="00F95220" w:rsidRDefault="005B4EBE">
            <w:pPr>
              <w:ind w:left="567"/>
              <w:rPr>
                <w:rFonts w:ascii="Arial" w:eastAsia="Arial" w:hAnsi="Arial" w:cs="Arial"/>
                <w:sz w:val="24"/>
                <w:szCs w:val="24"/>
              </w:rPr>
            </w:pPr>
            <w:r w:rsidRPr="003E518D">
              <w:rPr>
                <w:rFonts w:ascii="Arial" w:eastAsia="Arial" w:hAnsi="Arial" w:cs="Arial"/>
                <w:i/>
                <w:sz w:val="24"/>
                <w:szCs w:val="24"/>
              </w:rPr>
              <w:t>Formula</w:t>
            </w:r>
            <w:r>
              <w:rPr>
                <w:rFonts w:ascii="Arial" w:eastAsia="Arial" w:hAnsi="Arial" w:cs="Arial"/>
                <w:sz w:val="24"/>
                <w:szCs w:val="24"/>
              </w:rPr>
              <w:t xml:space="preserve">: x% (Service Level Threshold) - x% (actual Service Level performance)  </w:t>
            </w:r>
          </w:p>
        </w:tc>
        <w:tc>
          <w:tcPr>
            <w:tcW w:w="685" w:type="dxa"/>
          </w:tcPr>
          <w:p w:rsidR="00F95220" w:rsidRDefault="005B4EBE">
            <w:pPr>
              <w:ind w:left="211"/>
              <w:rPr>
                <w:rFonts w:ascii="Arial" w:eastAsia="Arial" w:hAnsi="Arial" w:cs="Arial"/>
                <w:sz w:val="24"/>
                <w:szCs w:val="24"/>
              </w:rPr>
            </w:pPr>
            <w:r>
              <w:rPr>
                <w:rFonts w:ascii="Arial" w:eastAsia="Arial" w:hAnsi="Arial" w:cs="Arial"/>
                <w:sz w:val="24"/>
                <w:szCs w:val="24"/>
              </w:rPr>
              <w:t>=</w:t>
            </w:r>
          </w:p>
        </w:tc>
        <w:tc>
          <w:tcPr>
            <w:tcW w:w="3966" w:type="dxa"/>
          </w:tcPr>
          <w:p w:rsidR="00F95220" w:rsidRDefault="005B4EBE">
            <w:pPr>
              <w:ind w:left="145"/>
              <w:rPr>
                <w:rFonts w:ascii="Arial" w:eastAsia="Arial" w:hAnsi="Arial" w:cs="Arial"/>
                <w:sz w:val="24"/>
                <w:szCs w:val="24"/>
              </w:rPr>
            </w:pPr>
            <w:r>
              <w:rPr>
                <w:rFonts w:ascii="Arial" w:eastAsia="Arial" w:hAnsi="Arial" w:cs="Arial"/>
                <w:sz w:val="24"/>
                <w:szCs w:val="24"/>
              </w:rPr>
              <w:t>x multiplied by the Service Credit rate in the table above to calculate the Charges payable to the Buyer as Service Credits to be deducted from the next Invoice payable by the Buyer</w:t>
            </w:r>
          </w:p>
        </w:tc>
      </w:tr>
      <w:tr w:rsidR="00F95220">
        <w:tc>
          <w:tcPr>
            <w:tcW w:w="4375" w:type="dxa"/>
          </w:tcPr>
          <w:p w:rsidR="00F95220" w:rsidRDefault="005B4EBE">
            <w:pPr>
              <w:ind w:left="567"/>
              <w:rPr>
                <w:rFonts w:ascii="Arial" w:eastAsia="Arial" w:hAnsi="Arial" w:cs="Arial"/>
                <w:sz w:val="24"/>
                <w:szCs w:val="24"/>
              </w:rPr>
            </w:pPr>
            <w:r w:rsidRPr="003E518D">
              <w:rPr>
                <w:rFonts w:ascii="Arial" w:eastAsia="Arial" w:hAnsi="Arial" w:cs="Arial"/>
                <w:i/>
                <w:sz w:val="24"/>
                <w:szCs w:val="24"/>
              </w:rPr>
              <w:t>Worked example</w:t>
            </w:r>
            <w:r>
              <w:rPr>
                <w:rFonts w:ascii="Arial" w:eastAsia="Arial" w:hAnsi="Arial" w:cs="Arial"/>
                <w:sz w:val="24"/>
                <w:szCs w:val="24"/>
              </w:rPr>
              <w:t xml:space="preserve">: 98% (e.g. Service Level Threshold for </w:t>
            </w:r>
            <w:r>
              <w:rPr>
                <w:rFonts w:ascii="Arial" w:eastAsia="Arial" w:hAnsi="Arial" w:cs="Arial"/>
                <w:b/>
                <w:sz w:val="24"/>
                <w:szCs w:val="24"/>
              </w:rPr>
              <w:t>Vehicle Availabilit</w:t>
            </w:r>
            <w:r>
              <w:rPr>
                <w:rFonts w:ascii="Arial" w:eastAsia="Arial" w:hAnsi="Arial" w:cs="Arial"/>
                <w:b/>
                <w:sz w:val="24"/>
                <w:szCs w:val="24"/>
              </w:rPr>
              <w:t>y</w:t>
            </w:r>
            <w:r>
              <w:rPr>
                <w:rFonts w:ascii="Arial" w:eastAsia="Arial" w:hAnsi="Arial" w:cs="Arial"/>
                <w:sz w:val="24"/>
                <w:szCs w:val="24"/>
              </w:rPr>
              <w:t xml:space="preserve"> Service Level) minus 75% (e.g. actual performance achieved against </w:t>
            </w:r>
            <w:r>
              <w:rPr>
                <w:rFonts w:ascii="Arial" w:eastAsia="Arial" w:hAnsi="Arial" w:cs="Arial"/>
                <w:sz w:val="24"/>
                <w:szCs w:val="24"/>
              </w:rPr>
              <w:lastRenderedPageBreak/>
              <w:t xml:space="preserve">this Service Level in a Service Period) </w:t>
            </w:r>
          </w:p>
          <w:p w:rsidR="00F95220" w:rsidRDefault="00F95220">
            <w:pPr>
              <w:ind w:left="567"/>
              <w:rPr>
                <w:rFonts w:ascii="Arial" w:eastAsia="Arial" w:hAnsi="Arial" w:cs="Arial"/>
                <w:sz w:val="24"/>
                <w:szCs w:val="24"/>
              </w:rPr>
            </w:pPr>
          </w:p>
        </w:tc>
        <w:tc>
          <w:tcPr>
            <w:tcW w:w="685" w:type="dxa"/>
          </w:tcPr>
          <w:p w:rsidR="00F95220" w:rsidRDefault="005B4EBE">
            <w:pPr>
              <w:ind w:left="211"/>
              <w:rPr>
                <w:rFonts w:ascii="Arial" w:eastAsia="Arial" w:hAnsi="Arial" w:cs="Arial"/>
                <w:sz w:val="24"/>
                <w:szCs w:val="24"/>
              </w:rPr>
            </w:pPr>
            <w:r>
              <w:rPr>
                <w:rFonts w:ascii="Arial" w:eastAsia="Arial" w:hAnsi="Arial" w:cs="Arial"/>
                <w:sz w:val="24"/>
                <w:szCs w:val="24"/>
              </w:rPr>
              <w:lastRenderedPageBreak/>
              <w:t>=</w:t>
            </w:r>
          </w:p>
        </w:tc>
        <w:tc>
          <w:tcPr>
            <w:tcW w:w="3966" w:type="dxa"/>
          </w:tcPr>
          <w:p w:rsidR="00F95220" w:rsidRDefault="005B4EBE">
            <w:pPr>
              <w:ind w:left="145"/>
              <w:rPr>
                <w:rFonts w:ascii="Arial" w:eastAsia="Arial" w:hAnsi="Arial" w:cs="Arial"/>
                <w:sz w:val="24"/>
                <w:szCs w:val="24"/>
              </w:rPr>
            </w:pPr>
            <w:r>
              <w:rPr>
                <w:rFonts w:ascii="Arial" w:eastAsia="Arial" w:hAnsi="Arial" w:cs="Arial"/>
                <w:sz w:val="24"/>
                <w:szCs w:val="24"/>
              </w:rPr>
              <w:t>23 percentage points multiplied by the rate of 0.5% (Service Credit gained for each percentage point under the specified Service Level Threshol</w:t>
            </w:r>
            <w:r>
              <w:rPr>
                <w:rFonts w:ascii="Arial" w:eastAsia="Arial" w:hAnsi="Arial" w:cs="Arial"/>
                <w:sz w:val="24"/>
                <w:szCs w:val="24"/>
              </w:rPr>
              <w:t xml:space="preserve">d </w:t>
            </w:r>
            <w:r>
              <w:rPr>
                <w:rFonts w:ascii="Arial" w:eastAsia="Arial" w:hAnsi="Arial" w:cs="Arial"/>
                <w:sz w:val="24"/>
                <w:szCs w:val="24"/>
              </w:rPr>
              <w:lastRenderedPageBreak/>
              <w:t xml:space="preserve">for each Service Period) = 11.5% Service Credit gained. </w:t>
            </w:r>
          </w:p>
          <w:p w:rsidR="00F95220" w:rsidRDefault="005B4EBE">
            <w:pPr>
              <w:ind w:left="145"/>
              <w:rPr>
                <w:rFonts w:ascii="Arial" w:eastAsia="Arial" w:hAnsi="Arial" w:cs="Arial"/>
                <w:sz w:val="24"/>
                <w:szCs w:val="24"/>
              </w:rPr>
            </w:pPr>
            <w:r>
              <w:rPr>
                <w:rFonts w:ascii="Arial" w:eastAsia="Arial" w:hAnsi="Arial" w:cs="Arial"/>
                <w:sz w:val="24"/>
                <w:szCs w:val="24"/>
              </w:rPr>
              <w:t>Call-Off Contract Charges payable (e.g. £100,000) x 11.5% Service Credit gained = £11,500 Service Credits would be deducted from the next valid invoice payable by the Customer.</w:t>
            </w:r>
          </w:p>
          <w:p w:rsidR="00F95220" w:rsidRDefault="00F95220">
            <w:pPr>
              <w:ind w:left="145"/>
              <w:rPr>
                <w:rFonts w:ascii="Arial" w:eastAsia="Arial" w:hAnsi="Arial" w:cs="Arial"/>
                <w:sz w:val="24"/>
                <w:szCs w:val="24"/>
              </w:rPr>
            </w:pPr>
          </w:p>
        </w:tc>
      </w:tr>
    </w:tbl>
    <w:p w:rsidR="00F95220" w:rsidRDefault="00F95220" w:rsidP="003E518D">
      <w:pPr>
        <w:keepNext/>
        <w:pBdr>
          <w:top w:val="nil"/>
          <w:left w:val="nil"/>
          <w:bottom w:val="nil"/>
          <w:right w:val="nil"/>
          <w:between w:val="nil"/>
        </w:pBdr>
        <w:spacing w:after="240" w:line="240" w:lineRule="auto"/>
        <w:rPr>
          <w:rFonts w:ascii="Arial" w:eastAsia="Arial" w:hAnsi="Arial" w:cs="Arial"/>
          <w:color w:val="000000"/>
          <w:sz w:val="24"/>
          <w:szCs w:val="24"/>
        </w:rPr>
      </w:pPr>
      <w:bookmarkStart w:id="1" w:name="_heading=h.30j0zll" w:colFirst="0" w:colLast="0"/>
      <w:bookmarkEnd w:id="1"/>
    </w:p>
    <w:sectPr w:rsidR="00F95220">
      <w:headerReference w:type="default" r:id="rId8"/>
      <w:footerReference w:type="default" r:id="rId9"/>
      <w:footerReference w:type="first" r:id="rId10"/>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EBE" w:rsidRDefault="005B4EBE">
      <w:pPr>
        <w:spacing w:after="0" w:line="240" w:lineRule="auto"/>
      </w:pPr>
      <w:r>
        <w:separator/>
      </w:r>
    </w:p>
  </w:endnote>
  <w:endnote w:type="continuationSeparator" w:id="0">
    <w:p w:rsidR="005B4EBE" w:rsidRDefault="005B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220" w:rsidRDefault="00F95220">
    <w:pPr>
      <w:tabs>
        <w:tab w:val="center" w:pos="4513"/>
        <w:tab w:val="right" w:pos="9026"/>
      </w:tabs>
      <w:spacing w:after="0" w:line="240" w:lineRule="auto"/>
      <w:jc w:val="both"/>
    </w:pPr>
  </w:p>
  <w:p w:rsidR="00F95220" w:rsidRDefault="005B4EB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w:t>
    </w:r>
  </w:p>
  <w:p w:rsidR="00F95220" w:rsidRDefault="005B4EB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3E518D">
      <w:rPr>
        <w:rFonts w:ascii="Arial" w:eastAsia="Arial" w:hAnsi="Arial" w:cs="Arial"/>
        <w:color w:val="000000"/>
        <w:sz w:val="20"/>
        <w:szCs w:val="20"/>
      </w:rPr>
      <w:fldChar w:fldCharType="separate"/>
    </w:r>
    <w:r w:rsidR="003E518D">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F95220" w:rsidRDefault="005B4EB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220" w:rsidRDefault="00F95220">
    <w:pPr>
      <w:tabs>
        <w:tab w:val="center" w:pos="4513"/>
        <w:tab w:val="right" w:pos="9026"/>
      </w:tabs>
      <w:spacing w:after="0" w:line="240" w:lineRule="auto"/>
      <w:jc w:val="both"/>
    </w:pPr>
  </w:p>
  <w:p w:rsidR="00F95220" w:rsidRDefault="005B4EB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w:t>
    </w:r>
    <w:r>
      <w:rPr>
        <w:rFonts w:ascii="Arial" w:eastAsia="Arial" w:hAnsi="Arial" w:cs="Arial"/>
        <w:color w:val="000000"/>
        <w:sz w:val="20"/>
        <w:szCs w:val="20"/>
      </w:rPr>
      <w:tab/>
      <w:t xml:space="preserve">                                           </w:t>
    </w:r>
  </w:p>
  <w:p w:rsidR="00F95220" w:rsidRDefault="005B4EB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F95220" w:rsidRDefault="005B4EBE">
    <w:pPr>
      <w:pBdr>
        <w:top w:val="nil"/>
        <w:left w:val="nil"/>
        <w:bottom w:val="nil"/>
        <w:right w:val="nil"/>
        <w:between w:val="nil"/>
      </w:pBdr>
      <w:tabs>
        <w:tab w:val="center" w:pos="4513"/>
        <w:tab w:val="right" w:pos="9026"/>
      </w:tabs>
      <w:spacing w:after="0" w:line="240" w:lineRule="auto"/>
      <w:rPr>
        <w:rFonts w:cs="Calibri"/>
        <w:color w:val="000000"/>
      </w:rPr>
    </w:pPr>
    <w:r>
      <w:rPr>
        <w:rFonts w:ascii="Arial" w:eastAsia="Arial" w:hAnsi="Arial" w:cs="Arial"/>
        <w:color w:val="000000"/>
        <w:sz w:val="20"/>
        <w:szCs w:val="20"/>
      </w:rPr>
      <w:t xml:space="preserve">Model </w:t>
    </w:r>
    <w:proofErr w:type="gramStart"/>
    <w:r>
      <w:rPr>
        <w:rFonts w:ascii="Arial" w:eastAsia="Arial" w:hAnsi="Arial" w:cs="Arial"/>
        <w:color w:val="000000"/>
        <w:sz w:val="20"/>
        <w:szCs w:val="20"/>
      </w:rPr>
      <w:t>Version :</w:t>
    </w:r>
    <w:proofErr w:type="gramEnd"/>
    <w:r>
      <w:rPr>
        <w:rFonts w:ascii="Arial" w:eastAsia="Arial" w:hAnsi="Arial" w:cs="Arial"/>
        <w:color w:val="000000"/>
        <w:sz w:val="20"/>
        <w:szCs w:val="20"/>
      </w:rPr>
      <w:t xml:space="preserve"> v2.9</w:t>
    </w:r>
    <w:r>
      <w:rPr>
        <w:rFonts w:ascii="Arial" w:eastAsia="Arial" w:hAnsi="Arial" w:cs="Arial"/>
        <w:color w:val="000000"/>
        <w:sz w:val="20"/>
        <w:szCs w:val="20"/>
      </w:rPr>
      <w:tab/>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EBE" w:rsidRDefault="005B4EBE">
      <w:pPr>
        <w:spacing w:after="0" w:line="240" w:lineRule="auto"/>
      </w:pPr>
      <w:r>
        <w:separator/>
      </w:r>
    </w:p>
  </w:footnote>
  <w:footnote w:type="continuationSeparator" w:id="0">
    <w:p w:rsidR="005B4EBE" w:rsidRDefault="005B4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220" w:rsidRDefault="005B4EB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Call-Off Schedule 14 (Service Levels)</w:t>
    </w:r>
  </w:p>
  <w:p w:rsidR="00F95220" w:rsidRDefault="005B4EB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Call-Off Ref:</w:t>
    </w:r>
  </w:p>
  <w:p w:rsidR="00F95220" w:rsidRDefault="005B4EB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rsidR="00F95220" w:rsidRDefault="00F95220">
    <w:pPr>
      <w:pBdr>
        <w:top w:val="nil"/>
        <w:left w:val="nil"/>
        <w:bottom w:val="nil"/>
        <w:right w:val="nil"/>
        <w:between w:val="nil"/>
      </w:pBdr>
      <w:tabs>
        <w:tab w:val="center" w:pos="4513"/>
        <w:tab w:val="right" w:pos="902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5F6C"/>
    <w:multiLevelType w:val="multilevel"/>
    <w:tmpl w:val="0884FEF2"/>
    <w:lvl w:ilvl="0">
      <w:start w:val="1"/>
      <w:numFmt w:val="decimal"/>
      <w:pStyle w:val="BodyTex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E21F10"/>
    <w:multiLevelType w:val="multilevel"/>
    <w:tmpl w:val="AE7AFBF4"/>
    <w:lvl w:ilvl="0">
      <w:start w:val="1"/>
      <w:numFmt w:val="decimal"/>
      <w:pStyle w:val="GPSL1CLAUSEHEADING"/>
      <w:lvlText w:val="%1."/>
      <w:lvlJc w:val="left"/>
      <w:pPr>
        <w:ind w:left="720" w:hanging="720"/>
      </w:pPr>
      <w:rPr>
        <w:rFonts w:ascii="Calibri" w:eastAsia="Calibri" w:hAnsi="Calibri" w:cs="Calibri"/>
        <w:b/>
        <w:i w:val="0"/>
        <w:smallCaps w:val="0"/>
        <w:strike w:val="0"/>
        <w:color w:val="000000"/>
        <w:sz w:val="22"/>
        <w:szCs w:val="22"/>
        <w:u w:val="none"/>
        <w:vertAlign w:val="baseline"/>
      </w:rPr>
    </w:lvl>
    <w:lvl w:ilvl="1">
      <w:start w:val="1"/>
      <w:numFmt w:val="lowerLetter"/>
      <w:pStyle w:val="GPSL2NumberedBoldHeading"/>
      <w:lvlText w:val="%2)"/>
      <w:lvlJc w:val="left"/>
      <w:pPr>
        <w:ind w:left="1440" w:hanging="720"/>
      </w:pPr>
      <w:rPr>
        <w:b w:val="0"/>
        <w:i w:val="0"/>
        <w:smallCaps w:val="0"/>
        <w:strike w:val="0"/>
        <w:color w:val="000000"/>
        <w:sz w:val="22"/>
        <w:szCs w:val="22"/>
        <w:u w:val="none"/>
        <w:vertAlign w:val="baseline"/>
      </w:rPr>
    </w:lvl>
    <w:lvl w:ilvl="2">
      <w:start w:val="1"/>
      <w:numFmt w:val="decimal"/>
      <w:pStyle w:val="GPSL3numberedclause"/>
      <w:lvlText w:val="%1.2.%3"/>
      <w:lvlJc w:val="left"/>
      <w:pPr>
        <w:ind w:left="2160"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3600" w:hanging="72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455B7754"/>
    <w:multiLevelType w:val="multilevel"/>
    <w:tmpl w:val="31607B74"/>
    <w:lvl w:ilvl="0">
      <w:start w:val="1"/>
      <w:numFmt w:val="decimal"/>
      <w:pStyle w:val="GPsDefinition"/>
      <w:lvlText w:val="%1."/>
      <w:lvlJc w:val="left"/>
      <w:pPr>
        <w:ind w:left="720" w:hanging="720"/>
      </w:pPr>
      <w:rPr>
        <w:rFonts w:ascii="Arial" w:eastAsia="Arial" w:hAnsi="Arial" w:cs="Arial"/>
        <w:b/>
        <w:i w:val="0"/>
        <w:smallCaps w:val="0"/>
        <w:strike w:val="0"/>
        <w:color w:val="000000"/>
        <w:sz w:val="24"/>
        <w:szCs w:val="24"/>
        <w:u w:val="none"/>
        <w:vertAlign w:val="baseline"/>
      </w:rPr>
    </w:lvl>
    <w:lvl w:ilvl="1">
      <w:start w:val="1"/>
      <w:numFmt w:val="decimal"/>
      <w:pStyle w:val="GPSDefinitionL2"/>
      <w:lvlText w:val="%1.%2"/>
      <w:lvlJc w:val="left"/>
      <w:pPr>
        <w:ind w:left="1440" w:hanging="720"/>
      </w:pPr>
      <w:rPr>
        <w:rFonts w:ascii="Arial" w:eastAsia="Arial" w:hAnsi="Arial" w:cs="Arial"/>
        <w:b w:val="0"/>
        <w:i w:val="0"/>
        <w:smallCaps w:val="0"/>
        <w:strike w:val="0"/>
        <w:color w:val="000000"/>
        <w:sz w:val="24"/>
        <w:szCs w:val="24"/>
        <w:u w:val="none"/>
        <w:vertAlign w:val="baseline"/>
      </w:rPr>
    </w:lvl>
    <w:lvl w:ilvl="2">
      <w:start w:val="1"/>
      <w:numFmt w:val="decimal"/>
      <w:pStyle w:val="GPSDefinitionL3"/>
      <w:lvlText w:val="%1.%2.%3"/>
      <w:lvlJc w:val="left"/>
      <w:pPr>
        <w:ind w:left="2160"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DefinitionL4"/>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4F4713E3"/>
    <w:multiLevelType w:val="multilevel"/>
    <w:tmpl w:val="5868F34A"/>
    <w:lvl w:ilvl="0">
      <w:start w:val="1"/>
      <w:numFmt w:val="decimal"/>
      <w:lvlText w:val="%1."/>
      <w:lvlJc w:val="left"/>
      <w:pPr>
        <w:ind w:left="720" w:hanging="72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440" w:hanging="72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160"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20"/>
    <w:rsid w:val="003E518D"/>
    <w:rsid w:val="005B4EBE"/>
    <w:rsid w:val="00940652"/>
    <w:rsid w:val="00946C80"/>
    <w:rsid w:val="00F95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9160"/>
  <w15:docId w15:val="{9CDAA0FC-7EF7-49CA-87CB-E8E9F318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ind w:left="360" w:hanging="360"/>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numPr>
        <w:numId w:val="4"/>
      </w:numPr>
      <w:adjustRightInd w:val="0"/>
      <w:spacing w:after="240" w:line="240" w:lineRule="auto"/>
      <w:jc w:val="both"/>
    </w:pPr>
    <w:rPr>
      <w:rFonts w:eastAsia="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DefinitionNumbering1">
    <w:name w:val="Definition Numbering 1"/>
    <w:basedOn w:val="Normal"/>
    <w:pPr>
      <w:adjustRightInd w:val="0"/>
      <w:spacing w:after="240" w:line="240" w:lineRule="auto"/>
      <w:jc w:val="both"/>
      <w:outlineLvl w:val="0"/>
    </w:pPr>
    <w:rPr>
      <w:rFonts w:ascii="Times New Roman" w:eastAsia="STZhongsong" w:hAnsi="Times New Roman"/>
      <w:szCs w:val="20"/>
      <w:lang w:eastAsia="zh-CN"/>
    </w:rPr>
  </w:style>
  <w:style w:type="paragraph" w:styleId="Revision">
    <w:name w:val="Revision"/>
    <w:hidden/>
    <w:uiPriority w:val="99"/>
    <w:semiHidden/>
    <w:rsid w:val="00CB349E"/>
    <w:pPr>
      <w:spacing w:after="0" w:line="240" w:lineRule="auto"/>
    </w:pPr>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vNjjJJzxQbSzG/W7cmNVZRuA9A==">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David Baker</cp:lastModifiedBy>
  <cp:revision>4</cp:revision>
  <dcterms:created xsi:type="dcterms:W3CDTF">2022-07-27T09:18:00Z</dcterms:created>
  <dcterms:modified xsi:type="dcterms:W3CDTF">2022-07-27T09:24:00Z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