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4 (Call Off Tender)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Guidance for Buyers: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After a further competition, if the Supplier’s bid has additional things that you would like included in the contract, insert the Supplier’s bid here.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Tender Here]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5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pos="1850"/>
        </w:tabs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440" w:top="1440" w:left="1440" w:right="1440" w:header="706" w:footer="706"/>
          <w:pgNumType w:start="1"/>
        </w:sect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6" w:footer="7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513"/>
        <w:tab w:val="right" w:pos="9026"/>
      </w:tabs>
      <w:spacing w:after="0" w:lineRule="auto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a6a6a6"/>
        <w:sz w:val="20"/>
        <w:szCs w:val="20"/>
      </w:rPr>
    </w:pPr>
    <w:bookmarkStart w:colFirst="0" w:colLast="0" w:name="_heading=h.gjdgxs" w:id="1"/>
    <w:bookmarkEnd w:id="1"/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Framework Ref: RM6290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Project Version: v1.0</w:t>
      <w:tab/>
      <w:tab/>
      <w:tab/>
    </w:r>
    <w:r w:rsidDel="00000000" w:rsidR="00000000" w:rsidRPr="00000000">
      <w:rPr>
        <w:rFonts w:ascii="Arial" w:cs="Arial" w:eastAsia="Arial" w:hAnsi="Arial"/>
        <w:color w:val="a6a6a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pos="2731"/>
      </w:tabs>
      <w:spacing w:after="0" w:line="240" w:lineRule="auto"/>
      <w:jc w:val="both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Model Version: v3.1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4 (Call-Off Tender)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</w:p>
  <w:p w:rsidR="00000000" w:rsidDel="00000000" w:rsidP="00000000" w:rsidRDefault="00000000" w:rsidRPr="00000000" w14:paraId="00000010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guPEH6cq/7ctdq6cD+QOjsQTA==">AMUW2mUnKiDITcYXshgZx8JkqC7EOcGor/JFkBrew6bUIU7eFd0/F9FKK1O6QQ9kcpMyyr50gbhja3lYGvSGmQmxI+0e7DA8cYQbJjT3B/0WtiVljmngGfmNuxooudroQ3UEK3Afr8Kf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2021-12-21T14:37:00Z</dcterms:created>
  <dc:creator>Samantha Brown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