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94C" w:rsidRDefault="00F12663">
      <w:pPr>
        <w:widowControl/>
        <w:pBdr>
          <w:top w:val="nil"/>
          <w:left w:val="nil"/>
          <w:bottom w:val="nil"/>
          <w:right w:val="nil"/>
          <w:between w:val="nil"/>
        </w:pBdr>
        <w:spacing w:before="240" w:after="120"/>
        <w:rPr>
          <w:rFonts w:ascii="Arial" w:eastAsia="Arial" w:hAnsi="Arial" w:cs="Arial"/>
          <w:b/>
          <w:color w:val="000000"/>
          <w:sz w:val="36"/>
          <w:szCs w:val="36"/>
        </w:rPr>
      </w:pPr>
      <w:r>
        <w:rPr>
          <w:rFonts w:ascii="Arial" w:eastAsia="Arial" w:hAnsi="Arial" w:cs="Arial"/>
          <w:b/>
          <w:color w:val="000000"/>
          <w:sz w:val="36"/>
          <w:szCs w:val="36"/>
        </w:rPr>
        <w:t>Framework Schedule 7 (Call-Off Award Procedure</w:t>
      </w:r>
      <w:bookmarkStart w:id="0" w:name="bookmark=id.gjdgxs" w:colFirst="0" w:colLast="0"/>
      <w:bookmarkEnd w:id="0"/>
      <w:r>
        <w:rPr>
          <w:rFonts w:ascii="Arial" w:eastAsia="Arial" w:hAnsi="Arial" w:cs="Arial"/>
          <w:b/>
          <w:color w:val="000000"/>
          <w:sz w:val="36"/>
          <w:szCs w:val="36"/>
        </w:rPr>
        <w:t xml:space="preserve">) </w:t>
      </w:r>
    </w:p>
    <w:p w:rsidR="0086094C" w:rsidRDefault="00F12663">
      <w:pPr>
        <w:widowControl/>
        <w:pBdr>
          <w:top w:val="nil"/>
          <w:left w:val="nil"/>
          <w:bottom w:val="nil"/>
          <w:right w:val="nil"/>
          <w:between w:val="nil"/>
        </w:pBdr>
        <w:spacing w:before="240" w:after="120"/>
        <w:rPr>
          <w:rFonts w:ascii="Arial" w:eastAsia="Arial" w:hAnsi="Arial" w:cs="Arial"/>
          <w:b/>
          <w:color w:val="000000"/>
          <w:sz w:val="36"/>
          <w:szCs w:val="36"/>
        </w:rPr>
      </w:pPr>
      <w:r>
        <w:rPr>
          <w:rFonts w:ascii="Arial" w:eastAsia="Arial" w:hAnsi="Arial" w:cs="Arial"/>
          <w:b/>
          <w:color w:val="000000"/>
          <w:sz w:val="36"/>
          <w:szCs w:val="36"/>
        </w:rPr>
        <w:t>Part 1: Order Procedure</w:t>
      </w:r>
    </w:p>
    <w:p w:rsidR="0086094C" w:rsidRDefault="00F12663">
      <w:pPr>
        <w:keepNext/>
        <w:widowControl/>
        <w:numPr>
          <w:ilvl w:val="0"/>
          <w:numId w:val="2"/>
        </w:numPr>
        <w:pBdr>
          <w:top w:val="nil"/>
          <w:left w:val="nil"/>
          <w:bottom w:val="nil"/>
          <w:right w:val="nil"/>
          <w:between w:val="nil"/>
        </w:pBdr>
        <w:tabs>
          <w:tab w:val="left" w:pos="142"/>
        </w:tabs>
        <w:spacing w:before="120" w:after="240"/>
        <w:rPr>
          <w:rFonts w:ascii="Arial Bold" w:eastAsia="Arial Bold" w:hAnsi="Arial Bold" w:cs="Arial Bold"/>
          <w:b/>
          <w:color w:val="000000"/>
          <w:sz w:val="24"/>
          <w:szCs w:val="24"/>
        </w:rPr>
      </w:pPr>
      <w:r>
        <w:rPr>
          <w:rFonts w:ascii="Arial Bold" w:eastAsia="Arial Bold" w:hAnsi="Arial Bold" w:cs="Arial Bold"/>
          <w:b/>
          <w:color w:val="000000"/>
          <w:sz w:val="24"/>
          <w:szCs w:val="24"/>
        </w:rPr>
        <w:t>How a Call-Off Contract is awarded</w:t>
      </w:r>
    </w:p>
    <w:p w:rsidR="0086094C" w:rsidRDefault="00F12663">
      <w:pPr>
        <w:widowControl/>
        <w:numPr>
          <w:ilvl w:val="1"/>
          <w:numId w:val="1"/>
        </w:numPr>
        <w:pBdr>
          <w:top w:val="nil"/>
          <w:left w:val="nil"/>
          <w:bottom w:val="nil"/>
          <w:right w:val="nil"/>
          <w:between w:val="nil"/>
        </w:pBdr>
        <w:tabs>
          <w:tab w:val="left" w:pos="3054"/>
        </w:tabs>
        <w:spacing w:before="120" w:after="120"/>
        <w:rPr>
          <w:rFonts w:ascii="Arial" w:eastAsia="Arial" w:hAnsi="Arial" w:cs="Arial"/>
          <w:color w:val="000000"/>
          <w:sz w:val="24"/>
          <w:szCs w:val="24"/>
        </w:rPr>
      </w:pPr>
      <w:bookmarkStart w:id="1" w:name="_heading=h.30j0zll" w:colFirst="0" w:colLast="0"/>
      <w:bookmarkEnd w:id="1"/>
      <w:r>
        <w:rPr>
          <w:rFonts w:ascii="Arial" w:eastAsia="Arial" w:hAnsi="Arial" w:cs="Arial"/>
          <w:color w:val="000000"/>
          <w:sz w:val="24"/>
          <w:szCs w:val="24"/>
        </w:rPr>
        <w:t>If a potential Buyer decides to source Deliverables through this Contract then it will award its Deliverables in accordance with the procedure in this Schedule and the requirements of the Regulations.</w:t>
      </w:r>
    </w:p>
    <w:p w:rsidR="0086094C" w:rsidRDefault="00F12663">
      <w:pPr>
        <w:keepNext/>
        <w:widowControl/>
        <w:numPr>
          <w:ilvl w:val="1"/>
          <w:numId w:val="1"/>
        </w:numPr>
        <w:pBdr>
          <w:top w:val="nil"/>
          <w:left w:val="nil"/>
          <w:bottom w:val="nil"/>
          <w:right w:val="nil"/>
          <w:between w:val="nil"/>
        </w:pBdr>
        <w:tabs>
          <w:tab w:val="left" w:pos="3054"/>
        </w:tabs>
        <w:spacing w:before="120" w:after="120"/>
        <w:rPr>
          <w:rFonts w:ascii="Arial" w:eastAsia="Arial" w:hAnsi="Arial" w:cs="Arial"/>
          <w:color w:val="000000"/>
          <w:sz w:val="24"/>
          <w:szCs w:val="24"/>
        </w:rPr>
      </w:pPr>
      <w:bookmarkStart w:id="2" w:name="_heading=h.1fob9te" w:colFirst="0" w:colLast="0"/>
      <w:bookmarkEnd w:id="2"/>
      <w:r>
        <w:rPr>
          <w:rFonts w:ascii="Arial" w:eastAsia="Arial" w:hAnsi="Arial" w:cs="Arial"/>
          <w:color w:val="000000"/>
          <w:sz w:val="24"/>
          <w:szCs w:val="24"/>
        </w:rPr>
        <w:t>If the potential Buyer can determine that:</w:t>
      </w:r>
    </w:p>
    <w:p w:rsidR="0086094C" w:rsidRDefault="00F12663">
      <w:pPr>
        <w:widowControl/>
        <w:numPr>
          <w:ilvl w:val="2"/>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its Deliverables can be met by the Suppliers’ catalogues and description of the Deliverables as set out in Framework Schedule 1 (Specification) and Framework Schedule 2 (Framework Tender); and</w:t>
      </w:r>
    </w:p>
    <w:p w:rsidR="0086094C" w:rsidRDefault="00F12663">
      <w:pPr>
        <w:widowControl/>
        <w:numPr>
          <w:ilvl w:val="2"/>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all of the terms of the proposed Call-Off Contract are laid dow</w:t>
      </w:r>
      <w:r>
        <w:rPr>
          <w:rFonts w:ascii="Arial" w:eastAsia="Arial" w:hAnsi="Arial" w:cs="Arial"/>
          <w:color w:val="000000"/>
          <w:sz w:val="24"/>
          <w:szCs w:val="24"/>
        </w:rPr>
        <w:t>n in this Contract and do not require amendment or any supplementary terms and conditions;</w:t>
      </w:r>
    </w:p>
    <w:p w:rsidR="0086094C" w:rsidRDefault="00F12663">
      <w:pPr>
        <w:widowControl/>
        <w:pBdr>
          <w:top w:val="nil"/>
          <w:left w:val="nil"/>
          <w:bottom w:val="nil"/>
          <w:right w:val="nil"/>
          <w:between w:val="nil"/>
        </w:pBdr>
        <w:tabs>
          <w:tab w:val="left" w:pos="4536"/>
        </w:tabs>
        <w:spacing w:after="220"/>
        <w:ind w:left="936"/>
        <w:rPr>
          <w:rFonts w:ascii="Arial" w:eastAsia="Arial" w:hAnsi="Arial" w:cs="Arial"/>
          <w:color w:val="000000"/>
          <w:sz w:val="24"/>
          <w:szCs w:val="24"/>
        </w:rPr>
      </w:pPr>
      <w:proofErr w:type="gramStart"/>
      <w:r>
        <w:rPr>
          <w:rFonts w:ascii="Arial" w:eastAsia="Arial" w:hAnsi="Arial" w:cs="Arial"/>
          <w:color w:val="000000"/>
          <w:sz w:val="24"/>
          <w:szCs w:val="24"/>
        </w:rPr>
        <w:t>then</w:t>
      </w:r>
      <w:proofErr w:type="gramEnd"/>
      <w:r>
        <w:rPr>
          <w:rFonts w:ascii="Arial" w:eastAsia="Arial" w:hAnsi="Arial" w:cs="Arial"/>
          <w:color w:val="000000"/>
          <w:sz w:val="24"/>
          <w:szCs w:val="24"/>
        </w:rPr>
        <w:t xml:space="preserve"> the Buyer may award a Call-Off Contract in accordance with the procedure set out in Paragraph 2 below.</w:t>
      </w:r>
    </w:p>
    <w:p w:rsidR="0086094C" w:rsidRDefault="00F12663">
      <w:pPr>
        <w:keepNext/>
        <w:widowControl/>
        <w:numPr>
          <w:ilvl w:val="1"/>
          <w:numId w:val="1"/>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If all of the terms of the proposed Call-Off Contract are</w:t>
      </w:r>
      <w:r>
        <w:rPr>
          <w:rFonts w:ascii="Arial" w:eastAsia="Arial" w:hAnsi="Arial" w:cs="Arial"/>
          <w:color w:val="000000"/>
          <w:sz w:val="24"/>
          <w:szCs w:val="24"/>
        </w:rPr>
        <w:t xml:space="preserve"> not laid down in this Contract and the potential Buyer:</w:t>
      </w:r>
    </w:p>
    <w:p w:rsidR="0086094C" w:rsidRDefault="00F12663">
      <w:pPr>
        <w:widowControl/>
        <w:numPr>
          <w:ilvl w:val="2"/>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requires the Supplier to develop proposals or a solution in respect of such Deliverables; and/or</w:t>
      </w:r>
    </w:p>
    <w:p w:rsidR="0086094C" w:rsidRDefault="00F12663">
      <w:pPr>
        <w:widowControl/>
        <w:numPr>
          <w:ilvl w:val="2"/>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needs to amend or refine the terms of the Framework Contract to reflect its Deliverables to the extent</w:t>
      </w:r>
      <w:r>
        <w:rPr>
          <w:rFonts w:ascii="Arial" w:eastAsia="Arial" w:hAnsi="Arial" w:cs="Arial"/>
          <w:color w:val="000000"/>
          <w:sz w:val="24"/>
          <w:szCs w:val="24"/>
        </w:rPr>
        <w:t xml:space="preserve"> permitted by and in accordance with the Regulations;</w:t>
      </w:r>
    </w:p>
    <w:p w:rsidR="0086094C" w:rsidRDefault="00F12663">
      <w:pPr>
        <w:widowControl/>
        <w:pBdr>
          <w:top w:val="nil"/>
          <w:left w:val="nil"/>
          <w:bottom w:val="nil"/>
          <w:right w:val="nil"/>
          <w:between w:val="nil"/>
        </w:pBdr>
        <w:tabs>
          <w:tab w:val="left" w:pos="4536"/>
        </w:tabs>
        <w:spacing w:after="220"/>
        <w:ind w:left="900"/>
        <w:rPr>
          <w:rFonts w:ascii="Arial" w:eastAsia="Arial" w:hAnsi="Arial" w:cs="Arial"/>
          <w:color w:val="000000"/>
          <w:sz w:val="24"/>
          <w:szCs w:val="24"/>
        </w:rPr>
      </w:pPr>
      <w:proofErr w:type="gramStart"/>
      <w:r>
        <w:rPr>
          <w:rFonts w:ascii="Arial" w:eastAsia="Arial" w:hAnsi="Arial" w:cs="Arial"/>
          <w:color w:val="000000"/>
          <w:sz w:val="24"/>
          <w:szCs w:val="24"/>
        </w:rPr>
        <w:t>then</w:t>
      </w:r>
      <w:proofErr w:type="gramEnd"/>
      <w:r>
        <w:rPr>
          <w:rFonts w:ascii="Arial" w:eastAsia="Arial" w:hAnsi="Arial" w:cs="Arial"/>
          <w:color w:val="000000"/>
          <w:sz w:val="24"/>
          <w:szCs w:val="24"/>
        </w:rPr>
        <w:t xml:space="preserve"> the Buyer may award a Call-Off Contract in accordance with the Further Competition Procedure set out in Paragraph 3 below.</w:t>
      </w:r>
    </w:p>
    <w:p w:rsidR="0086094C" w:rsidRDefault="00F12663">
      <w:pPr>
        <w:keepNext/>
        <w:widowControl/>
        <w:numPr>
          <w:ilvl w:val="0"/>
          <w:numId w:val="1"/>
        </w:numPr>
        <w:pBdr>
          <w:top w:val="nil"/>
          <w:left w:val="nil"/>
          <w:bottom w:val="nil"/>
          <w:right w:val="nil"/>
          <w:between w:val="nil"/>
        </w:pBdr>
        <w:tabs>
          <w:tab w:val="left" w:pos="142"/>
        </w:tabs>
        <w:spacing w:before="120" w:after="240"/>
        <w:rPr>
          <w:rFonts w:ascii="Arial Bold" w:eastAsia="Arial Bold" w:hAnsi="Arial Bold" w:cs="Arial Bold"/>
          <w:b/>
          <w:color w:val="000000"/>
          <w:sz w:val="24"/>
          <w:szCs w:val="24"/>
        </w:rPr>
      </w:pPr>
      <w:r>
        <w:rPr>
          <w:rFonts w:ascii="Arial Bold" w:eastAsia="Arial Bold" w:hAnsi="Arial Bold" w:cs="Arial Bold"/>
          <w:b/>
          <w:color w:val="000000"/>
          <w:sz w:val="24"/>
          <w:szCs w:val="24"/>
        </w:rPr>
        <w:t>How a direct award works</w:t>
      </w:r>
    </w:p>
    <w:p w:rsidR="0086094C" w:rsidRDefault="00F12663">
      <w:pPr>
        <w:keepNext/>
        <w:widowControl/>
        <w:numPr>
          <w:ilvl w:val="1"/>
          <w:numId w:val="1"/>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Subject to Paragraph 1.2 above the Buyer awarding a Call-Off Contract under this Contract without holding a further competition shall:</w:t>
      </w:r>
    </w:p>
    <w:p w:rsidR="0086094C" w:rsidRDefault="00F12663">
      <w:pPr>
        <w:widowControl/>
        <w:numPr>
          <w:ilvl w:val="2"/>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develop a clear Statement of Requirements;</w:t>
      </w:r>
    </w:p>
    <w:p w:rsidR="0086094C" w:rsidRDefault="00F12663">
      <w:pPr>
        <w:widowControl/>
        <w:numPr>
          <w:ilvl w:val="2"/>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apply the direct award criteria to the Suppliers’ catalogues and description of the Deliverables as set out in Framework Schedule 1 (Specification) and Framework Schedule 2 (Framework Tender) for all Suppliers capable of meeting the Statement of Requiremen</w:t>
      </w:r>
      <w:r>
        <w:rPr>
          <w:rFonts w:ascii="Arial" w:eastAsia="Arial" w:hAnsi="Arial" w:cs="Arial"/>
          <w:color w:val="000000"/>
          <w:sz w:val="24"/>
          <w:szCs w:val="24"/>
        </w:rPr>
        <w:t>ts in order to establish which Supplier provides the most economically advantageous solution; and</w:t>
      </w:r>
    </w:p>
    <w:p w:rsidR="0086094C" w:rsidRDefault="00F12663">
      <w:pPr>
        <w:widowControl/>
        <w:numPr>
          <w:ilvl w:val="2"/>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proofErr w:type="gramStart"/>
      <w:r>
        <w:rPr>
          <w:rFonts w:ascii="Arial" w:eastAsia="Arial" w:hAnsi="Arial" w:cs="Arial"/>
          <w:color w:val="000000"/>
          <w:sz w:val="24"/>
          <w:szCs w:val="24"/>
        </w:rPr>
        <w:t>on</w:t>
      </w:r>
      <w:proofErr w:type="gramEnd"/>
      <w:r>
        <w:rPr>
          <w:rFonts w:ascii="Arial" w:eastAsia="Arial" w:hAnsi="Arial" w:cs="Arial"/>
          <w:color w:val="000000"/>
          <w:sz w:val="24"/>
          <w:szCs w:val="24"/>
        </w:rPr>
        <w:t xml:space="preserve"> the basis set out above, award the Call-Off Contract with the successful Supplier in accordance with Paragraph 6 below.</w:t>
      </w:r>
    </w:p>
    <w:p w:rsidR="0086094C" w:rsidRDefault="0086094C">
      <w:pPr>
        <w:widowControl/>
        <w:pBdr>
          <w:top w:val="nil"/>
          <w:left w:val="nil"/>
          <w:bottom w:val="nil"/>
          <w:right w:val="nil"/>
          <w:between w:val="nil"/>
        </w:pBdr>
        <w:tabs>
          <w:tab w:val="left" w:pos="3641"/>
        </w:tabs>
        <w:spacing w:before="120" w:after="120"/>
        <w:ind w:left="1985"/>
        <w:rPr>
          <w:rFonts w:ascii="Arial" w:eastAsia="Arial" w:hAnsi="Arial" w:cs="Arial"/>
          <w:color w:val="000000"/>
          <w:sz w:val="24"/>
          <w:szCs w:val="24"/>
        </w:rPr>
      </w:pPr>
    </w:p>
    <w:p w:rsidR="0086094C" w:rsidRDefault="00F12663">
      <w:pPr>
        <w:keepNext/>
        <w:widowControl/>
        <w:numPr>
          <w:ilvl w:val="0"/>
          <w:numId w:val="1"/>
        </w:numPr>
        <w:pBdr>
          <w:top w:val="nil"/>
          <w:left w:val="nil"/>
          <w:bottom w:val="nil"/>
          <w:right w:val="nil"/>
          <w:between w:val="nil"/>
        </w:pBdr>
        <w:tabs>
          <w:tab w:val="left" w:pos="142"/>
        </w:tabs>
        <w:spacing w:before="120" w:after="240"/>
        <w:rPr>
          <w:rFonts w:ascii="Arial Bold" w:eastAsia="Arial Bold" w:hAnsi="Arial Bold" w:cs="Arial Bold"/>
          <w:b/>
          <w:color w:val="000000"/>
          <w:sz w:val="24"/>
          <w:szCs w:val="24"/>
        </w:rPr>
      </w:pPr>
      <w:r>
        <w:rPr>
          <w:rFonts w:ascii="Arial Bold" w:eastAsia="Arial Bold" w:hAnsi="Arial Bold" w:cs="Arial Bold"/>
          <w:b/>
          <w:color w:val="000000"/>
          <w:sz w:val="24"/>
          <w:szCs w:val="24"/>
        </w:rPr>
        <w:t>How a further competition works</w:t>
      </w:r>
    </w:p>
    <w:p w:rsidR="0086094C" w:rsidRDefault="00F12663">
      <w:pPr>
        <w:keepNext/>
        <w:widowControl/>
        <w:pBdr>
          <w:top w:val="nil"/>
          <w:left w:val="nil"/>
          <w:bottom w:val="nil"/>
          <w:right w:val="nil"/>
          <w:between w:val="nil"/>
        </w:pBdr>
        <w:tabs>
          <w:tab w:val="left" w:pos="3054"/>
        </w:tabs>
        <w:spacing w:before="120" w:after="120"/>
        <w:ind w:left="1134" w:hanging="774"/>
        <w:rPr>
          <w:rFonts w:ascii="Arial" w:eastAsia="Arial" w:hAnsi="Arial" w:cs="Arial"/>
          <w:b/>
          <w:color w:val="000000"/>
          <w:sz w:val="24"/>
          <w:szCs w:val="24"/>
        </w:rPr>
      </w:pPr>
      <w:r>
        <w:rPr>
          <w:rFonts w:ascii="Arial" w:eastAsia="Arial" w:hAnsi="Arial" w:cs="Arial"/>
          <w:b/>
          <w:color w:val="000000"/>
          <w:sz w:val="24"/>
          <w:szCs w:val="24"/>
        </w:rPr>
        <w:t>What the Buyer has to do</w:t>
      </w:r>
    </w:p>
    <w:p w:rsidR="0086094C" w:rsidRDefault="00F12663">
      <w:pPr>
        <w:keepNext/>
        <w:widowControl/>
        <w:numPr>
          <w:ilvl w:val="1"/>
          <w:numId w:val="1"/>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The Buyer awarding a Call-Off Contract under this Contract through a Further Competition Procedure shall:</w:t>
      </w:r>
    </w:p>
    <w:p w:rsidR="0086094C" w:rsidRDefault="00F12663">
      <w:pPr>
        <w:widowControl/>
        <w:numPr>
          <w:ilvl w:val="2"/>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bookmarkStart w:id="3" w:name="_heading=h.3znysh7" w:colFirst="0" w:colLast="0"/>
      <w:bookmarkEnd w:id="3"/>
      <w:r>
        <w:rPr>
          <w:rFonts w:ascii="Arial" w:eastAsia="Arial" w:hAnsi="Arial" w:cs="Arial"/>
          <w:color w:val="000000"/>
          <w:sz w:val="24"/>
          <w:szCs w:val="24"/>
        </w:rPr>
        <w:t>develop a Statement of Requirements setting out its requirements for the Deliverables and identify the Suppliers capable of supplying the them;</w:t>
      </w:r>
    </w:p>
    <w:p w:rsidR="0086094C" w:rsidRDefault="00F12663">
      <w:pPr>
        <w:widowControl/>
        <w:numPr>
          <w:ilvl w:val="2"/>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bookmarkStart w:id="4" w:name="_heading=h.2et92p0" w:colFirst="0" w:colLast="0"/>
      <w:bookmarkEnd w:id="4"/>
      <w:r>
        <w:rPr>
          <w:rFonts w:ascii="Arial" w:eastAsia="Arial" w:hAnsi="Arial" w:cs="Arial"/>
          <w:color w:val="000000"/>
          <w:sz w:val="24"/>
          <w:szCs w:val="24"/>
        </w:rPr>
        <w:t>amend or refine the Deliverables to reflect its requirements by using the Order Form only to the extent permitte</w:t>
      </w:r>
      <w:r>
        <w:rPr>
          <w:rFonts w:ascii="Arial" w:eastAsia="Arial" w:hAnsi="Arial" w:cs="Arial"/>
          <w:color w:val="000000"/>
          <w:sz w:val="24"/>
          <w:szCs w:val="24"/>
        </w:rPr>
        <w:t>d by and in accordance with the requirements of the Regulations;</w:t>
      </w:r>
    </w:p>
    <w:p w:rsidR="0086094C" w:rsidRDefault="00F12663">
      <w:pPr>
        <w:keepNext/>
        <w:widowControl/>
        <w:numPr>
          <w:ilvl w:val="2"/>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bookmarkStart w:id="5" w:name="_heading=h.tyjcwt" w:colFirst="0" w:colLast="0"/>
      <w:bookmarkEnd w:id="5"/>
      <w:r>
        <w:rPr>
          <w:rFonts w:ascii="Arial" w:eastAsia="Arial" w:hAnsi="Arial" w:cs="Arial"/>
          <w:color w:val="000000"/>
          <w:sz w:val="24"/>
          <w:szCs w:val="24"/>
        </w:rPr>
        <w:t>invite tenders by conducting a Further Competition Procedure for its Deliverables in accordance with the Regulations and in particular:</w:t>
      </w:r>
    </w:p>
    <w:p w:rsidR="0086094C" w:rsidRDefault="00F12663">
      <w:pPr>
        <w:widowControl/>
        <w:numPr>
          <w:ilvl w:val="3"/>
          <w:numId w:val="1"/>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if an Electronic Reverse Auction (as defined in Paragraph 7 below) is to be held, the Buyer shall notify the Suppliers identified in accordance with Paragraph 3.1.1 and shall conduct the Further Competition Procedure in accordance with the procedures set o</w:t>
      </w:r>
      <w:r>
        <w:rPr>
          <w:rFonts w:ascii="Arial" w:eastAsia="Arial" w:hAnsi="Arial" w:cs="Arial"/>
          <w:color w:val="000000"/>
          <w:sz w:val="24"/>
          <w:szCs w:val="24"/>
        </w:rPr>
        <w:t>ut in Paragraph 3; or</w:t>
      </w:r>
    </w:p>
    <w:p w:rsidR="0086094C" w:rsidRDefault="00F12663">
      <w:pPr>
        <w:keepNext/>
        <w:widowControl/>
        <w:numPr>
          <w:ilvl w:val="3"/>
          <w:numId w:val="1"/>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if an Electronic Reverse Auction is not used, the Buyer shall:</w:t>
      </w:r>
    </w:p>
    <w:p w:rsidR="0086094C" w:rsidRDefault="00F12663">
      <w:pPr>
        <w:widowControl/>
        <w:numPr>
          <w:ilvl w:val="4"/>
          <w:numId w:val="1"/>
        </w:numPr>
        <w:pBdr>
          <w:top w:val="nil"/>
          <w:left w:val="nil"/>
          <w:bottom w:val="nil"/>
          <w:right w:val="nil"/>
          <w:between w:val="nil"/>
        </w:pBdr>
        <w:tabs>
          <w:tab w:val="left" w:pos="6238"/>
        </w:tabs>
        <w:spacing w:before="120" w:after="120"/>
        <w:ind w:left="3119" w:hanging="566"/>
        <w:rPr>
          <w:rFonts w:ascii="Arial" w:eastAsia="Arial" w:hAnsi="Arial" w:cs="Arial"/>
          <w:color w:val="000000"/>
          <w:sz w:val="24"/>
          <w:szCs w:val="24"/>
        </w:rPr>
      </w:pPr>
      <w:r>
        <w:rPr>
          <w:rFonts w:ascii="Arial" w:eastAsia="Arial" w:hAnsi="Arial" w:cs="Arial"/>
          <w:color w:val="000000"/>
          <w:sz w:val="24"/>
          <w:szCs w:val="24"/>
        </w:rPr>
        <w:t>invite the Suppliers identified in accordance with Paragraph 3.1.1 to submit a tender in writing for each proposed Call-Off Contract to be awarded by giving written notice by email to the relevant Supplier Representative of each Supplier;</w:t>
      </w:r>
    </w:p>
    <w:p w:rsidR="0086094C" w:rsidRDefault="00F12663">
      <w:pPr>
        <w:widowControl/>
        <w:numPr>
          <w:ilvl w:val="4"/>
          <w:numId w:val="1"/>
        </w:numPr>
        <w:pBdr>
          <w:top w:val="nil"/>
          <w:left w:val="nil"/>
          <w:bottom w:val="nil"/>
          <w:right w:val="nil"/>
          <w:between w:val="nil"/>
        </w:pBdr>
        <w:tabs>
          <w:tab w:val="left" w:pos="6238"/>
        </w:tabs>
        <w:spacing w:before="120" w:after="120"/>
        <w:ind w:left="3119" w:hanging="566"/>
        <w:rPr>
          <w:rFonts w:ascii="Arial" w:eastAsia="Arial" w:hAnsi="Arial" w:cs="Arial"/>
          <w:color w:val="000000"/>
          <w:sz w:val="24"/>
          <w:szCs w:val="24"/>
        </w:rPr>
      </w:pPr>
      <w:r>
        <w:rPr>
          <w:rFonts w:ascii="Arial" w:eastAsia="Arial" w:hAnsi="Arial" w:cs="Arial"/>
          <w:color w:val="000000"/>
          <w:sz w:val="24"/>
          <w:szCs w:val="24"/>
        </w:rPr>
        <w:t xml:space="preserve">set a time limit </w:t>
      </w:r>
      <w:r>
        <w:rPr>
          <w:rFonts w:ascii="Arial" w:eastAsia="Arial" w:hAnsi="Arial" w:cs="Arial"/>
          <w:color w:val="000000"/>
          <w:sz w:val="24"/>
          <w:szCs w:val="24"/>
        </w:rPr>
        <w:t>for the receipt by it of the tenders which takes into account factors such as the complexity of the subject matter of the proposed Call-Off Contract and the time needed to submit tenders; and</w:t>
      </w:r>
    </w:p>
    <w:p w:rsidR="0086094C" w:rsidRDefault="00F12663">
      <w:pPr>
        <w:widowControl/>
        <w:numPr>
          <w:ilvl w:val="4"/>
          <w:numId w:val="1"/>
        </w:numPr>
        <w:pBdr>
          <w:top w:val="nil"/>
          <w:left w:val="nil"/>
          <w:bottom w:val="nil"/>
          <w:right w:val="nil"/>
          <w:between w:val="nil"/>
        </w:pBdr>
        <w:tabs>
          <w:tab w:val="left" w:pos="6238"/>
        </w:tabs>
        <w:spacing w:before="120" w:after="120"/>
        <w:ind w:left="3119" w:hanging="566"/>
        <w:rPr>
          <w:rFonts w:ascii="Arial" w:eastAsia="Arial" w:hAnsi="Arial" w:cs="Arial"/>
          <w:color w:val="000000"/>
          <w:sz w:val="24"/>
          <w:szCs w:val="24"/>
        </w:rPr>
      </w:pPr>
      <w:proofErr w:type="gramStart"/>
      <w:r>
        <w:rPr>
          <w:rFonts w:ascii="Arial" w:eastAsia="Arial" w:hAnsi="Arial" w:cs="Arial"/>
          <w:color w:val="000000"/>
          <w:sz w:val="24"/>
          <w:szCs w:val="24"/>
        </w:rPr>
        <w:t>keep</w:t>
      </w:r>
      <w:proofErr w:type="gramEnd"/>
      <w:r>
        <w:rPr>
          <w:rFonts w:ascii="Arial" w:eastAsia="Arial" w:hAnsi="Arial" w:cs="Arial"/>
          <w:color w:val="000000"/>
          <w:sz w:val="24"/>
          <w:szCs w:val="24"/>
        </w:rPr>
        <w:t xml:space="preserve"> each tender confidential until the time limit set out for t</w:t>
      </w:r>
      <w:r>
        <w:rPr>
          <w:rFonts w:ascii="Arial" w:eastAsia="Arial" w:hAnsi="Arial" w:cs="Arial"/>
          <w:color w:val="000000"/>
          <w:sz w:val="24"/>
          <w:szCs w:val="24"/>
        </w:rPr>
        <w:t>he return of tenders has expired.</w:t>
      </w:r>
    </w:p>
    <w:p w:rsidR="0086094C" w:rsidRDefault="00F12663">
      <w:pPr>
        <w:widowControl/>
        <w:numPr>
          <w:ilvl w:val="2"/>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apply the further competition award criteria to the Suppliers' compliant tenders submitted through the Further Competition Procedure as the basis of its decision to award a Call-Off Contract for its Deliverables;</w:t>
      </w:r>
    </w:p>
    <w:p w:rsidR="0086094C" w:rsidRDefault="00F12663">
      <w:pPr>
        <w:keepNext/>
        <w:widowControl/>
        <w:numPr>
          <w:ilvl w:val="2"/>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proofErr w:type="gramStart"/>
      <w:r>
        <w:rPr>
          <w:rFonts w:ascii="Arial" w:eastAsia="Arial" w:hAnsi="Arial" w:cs="Arial"/>
          <w:color w:val="000000"/>
          <w:sz w:val="24"/>
          <w:szCs w:val="24"/>
        </w:rPr>
        <w:t>on</w:t>
      </w:r>
      <w:proofErr w:type="gramEnd"/>
      <w:r>
        <w:rPr>
          <w:rFonts w:ascii="Arial" w:eastAsia="Arial" w:hAnsi="Arial" w:cs="Arial"/>
          <w:color w:val="000000"/>
          <w:sz w:val="24"/>
          <w:szCs w:val="24"/>
        </w:rPr>
        <w:t xml:space="preserve"> the ba</w:t>
      </w:r>
      <w:r>
        <w:rPr>
          <w:rFonts w:ascii="Arial" w:eastAsia="Arial" w:hAnsi="Arial" w:cs="Arial"/>
          <w:color w:val="000000"/>
          <w:sz w:val="24"/>
          <w:szCs w:val="24"/>
        </w:rPr>
        <w:t>sis set out above, award its Call-Off Contract to the successful Supplier in accordance with Paragraph 6. The Call-Off Contract shall:</w:t>
      </w:r>
    </w:p>
    <w:p w:rsidR="0086094C" w:rsidRDefault="00F12663">
      <w:pPr>
        <w:widowControl/>
        <w:numPr>
          <w:ilvl w:val="3"/>
          <w:numId w:val="1"/>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state the Deliverables;</w:t>
      </w:r>
    </w:p>
    <w:p w:rsidR="0086094C" w:rsidRDefault="00F12663">
      <w:pPr>
        <w:widowControl/>
        <w:numPr>
          <w:ilvl w:val="3"/>
          <w:numId w:val="1"/>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state the tender submitted by the successful Supplier;</w:t>
      </w:r>
    </w:p>
    <w:p w:rsidR="0086094C" w:rsidRDefault="00F12663">
      <w:pPr>
        <w:widowControl/>
        <w:numPr>
          <w:ilvl w:val="3"/>
          <w:numId w:val="1"/>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state the Charges payable for the Deliverables in accordance with the tender submitted by the successful Supplier; and</w:t>
      </w:r>
    </w:p>
    <w:p w:rsidR="0086094C" w:rsidRDefault="00F12663">
      <w:pPr>
        <w:widowControl/>
        <w:numPr>
          <w:ilvl w:val="3"/>
          <w:numId w:val="1"/>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lastRenderedPageBreak/>
        <w:t>incorporate the terms [of the Order Form and Contract] (as may be amended or refined by the Buyer in accordance with Paragraph 3.1.2. abo</w:t>
      </w:r>
      <w:r>
        <w:rPr>
          <w:rFonts w:ascii="Arial" w:eastAsia="Arial" w:hAnsi="Arial" w:cs="Arial"/>
          <w:color w:val="000000"/>
          <w:sz w:val="24"/>
          <w:szCs w:val="24"/>
        </w:rPr>
        <w:t>ve) applicable to the Deliverables,</w:t>
      </w:r>
    </w:p>
    <w:p w:rsidR="0086094C" w:rsidRDefault="00F12663">
      <w:pPr>
        <w:widowControl/>
        <w:numPr>
          <w:ilvl w:val="2"/>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proofErr w:type="gramStart"/>
      <w:r>
        <w:rPr>
          <w:rFonts w:ascii="Arial" w:eastAsia="Arial" w:hAnsi="Arial" w:cs="Arial"/>
          <w:color w:val="000000"/>
          <w:sz w:val="24"/>
          <w:szCs w:val="24"/>
        </w:rPr>
        <w:t>provide</w:t>
      </w:r>
      <w:proofErr w:type="gramEnd"/>
      <w:r>
        <w:rPr>
          <w:rFonts w:ascii="Arial" w:eastAsia="Arial" w:hAnsi="Arial" w:cs="Arial"/>
          <w:color w:val="000000"/>
          <w:sz w:val="24"/>
          <w:szCs w:val="24"/>
        </w:rPr>
        <w:t xml:space="preserve"> unsuccessful Suppliers with written feedback in relation to the reasons why their tenders were unsuccessful.</w:t>
      </w:r>
    </w:p>
    <w:p w:rsidR="0086094C" w:rsidRDefault="00F12663">
      <w:pPr>
        <w:keepNext/>
        <w:widowControl/>
        <w:pBdr>
          <w:top w:val="nil"/>
          <w:left w:val="nil"/>
          <w:bottom w:val="nil"/>
          <w:right w:val="nil"/>
          <w:between w:val="nil"/>
        </w:pBdr>
        <w:tabs>
          <w:tab w:val="left" w:pos="3054"/>
        </w:tabs>
        <w:spacing w:before="120" w:after="120"/>
        <w:rPr>
          <w:rFonts w:ascii="Arial" w:eastAsia="Arial" w:hAnsi="Arial" w:cs="Arial"/>
          <w:b/>
          <w:color w:val="000000"/>
          <w:sz w:val="24"/>
          <w:szCs w:val="24"/>
        </w:rPr>
      </w:pPr>
      <w:r>
        <w:rPr>
          <w:rFonts w:ascii="Arial" w:eastAsia="Arial" w:hAnsi="Arial" w:cs="Arial"/>
          <w:b/>
          <w:color w:val="000000"/>
          <w:sz w:val="24"/>
          <w:szCs w:val="24"/>
        </w:rPr>
        <w:t>What the Supplier has to do</w:t>
      </w:r>
    </w:p>
    <w:p w:rsidR="0086094C" w:rsidRDefault="00F12663">
      <w:pPr>
        <w:keepNext/>
        <w:widowControl/>
        <w:numPr>
          <w:ilvl w:val="1"/>
          <w:numId w:val="1"/>
        </w:numPr>
        <w:pBdr>
          <w:top w:val="nil"/>
          <w:left w:val="nil"/>
          <w:bottom w:val="nil"/>
          <w:right w:val="nil"/>
          <w:between w:val="nil"/>
        </w:pBdr>
        <w:tabs>
          <w:tab w:val="left" w:pos="3054"/>
        </w:tabs>
        <w:spacing w:before="120" w:after="120"/>
        <w:rPr>
          <w:rFonts w:ascii="Arial" w:eastAsia="Arial" w:hAnsi="Arial" w:cs="Arial"/>
          <w:b/>
          <w:color w:val="000000"/>
          <w:sz w:val="24"/>
          <w:szCs w:val="24"/>
        </w:rPr>
      </w:pPr>
      <w:r>
        <w:rPr>
          <w:rFonts w:ascii="Arial" w:eastAsia="Arial" w:hAnsi="Arial" w:cs="Arial"/>
          <w:color w:val="000000"/>
          <w:sz w:val="24"/>
          <w:szCs w:val="24"/>
        </w:rPr>
        <w:t>The Supplier shall in writing, by the time and date specified by the Buyer following an invitation to tender pursuant to Paragraph 3.1.3 above, provide CCS and the Buyer with either:</w:t>
      </w:r>
    </w:p>
    <w:p w:rsidR="0086094C" w:rsidRDefault="0086094C">
      <w:pPr>
        <w:widowControl/>
        <w:pBdr>
          <w:top w:val="nil"/>
          <w:left w:val="nil"/>
          <w:bottom w:val="nil"/>
          <w:right w:val="nil"/>
          <w:between w:val="nil"/>
        </w:pBdr>
        <w:tabs>
          <w:tab w:val="left" w:pos="3641"/>
        </w:tabs>
        <w:spacing w:before="120" w:after="120"/>
        <w:rPr>
          <w:rFonts w:ascii="Arial" w:eastAsia="Arial" w:hAnsi="Arial" w:cs="Arial"/>
          <w:color w:val="000000"/>
          <w:sz w:val="24"/>
          <w:szCs w:val="24"/>
        </w:rPr>
      </w:pPr>
    </w:p>
    <w:p w:rsidR="0086094C" w:rsidRDefault="00F12663">
      <w:pPr>
        <w:widowControl/>
        <w:numPr>
          <w:ilvl w:val="2"/>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a statement to the effect that it does not wish to tender in relation to</w:t>
      </w:r>
      <w:r>
        <w:rPr>
          <w:rFonts w:ascii="Arial" w:eastAsia="Arial" w:hAnsi="Arial" w:cs="Arial"/>
          <w:color w:val="000000"/>
          <w:sz w:val="24"/>
          <w:szCs w:val="24"/>
        </w:rPr>
        <w:t xml:space="preserve"> the Deliverables; or</w:t>
      </w:r>
    </w:p>
    <w:p w:rsidR="0086094C" w:rsidRDefault="00F12663">
      <w:pPr>
        <w:keepNext/>
        <w:widowControl/>
        <w:numPr>
          <w:ilvl w:val="2"/>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full details of its tender made in respect of the relevant Statement of Requirements. In the event that the Supplier submits such a tender, it should include, as a minimum:</w:t>
      </w:r>
    </w:p>
    <w:p w:rsidR="0086094C" w:rsidRDefault="00F12663">
      <w:pPr>
        <w:widowControl/>
        <w:numPr>
          <w:ilvl w:val="3"/>
          <w:numId w:val="1"/>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an email response subject line to comprise unique reference number and Supplier name, so as to clearly identify the Supplier;</w:t>
      </w:r>
    </w:p>
    <w:p w:rsidR="0086094C" w:rsidRDefault="00F12663">
      <w:pPr>
        <w:widowControl/>
        <w:numPr>
          <w:ilvl w:val="3"/>
          <w:numId w:val="1"/>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a brief summary, in the email (followed by a confirmation letter), stating that the Supplier is bidding for the Statement of Requi</w:t>
      </w:r>
      <w:r>
        <w:rPr>
          <w:rFonts w:ascii="Arial" w:eastAsia="Arial" w:hAnsi="Arial" w:cs="Arial"/>
          <w:color w:val="000000"/>
          <w:sz w:val="24"/>
          <w:szCs w:val="24"/>
        </w:rPr>
        <w:t>rements;</w:t>
      </w:r>
    </w:p>
    <w:p w:rsidR="0086094C" w:rsidRDefault="00F12663">
      <w:pPr>
        <w:widowControl/>
        <w:numPr>
          <w:ilvl w:val="3"/>
          <w:numId w:val="1"/>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a proposal covering the Deliverables;</w:t>
      </w:r>
    </w:p>
    <w:p w:rsidR="0086094C" w:rsidRDefault="00F12663">
      <w:pPr>
        <w:widowControl/>
        <w:numPr>
          <w:ilvl w:val="3"/>
          <w:numId w:val="1"/>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CVs of key staff – as a minimum any lead consultant, with others, as considered appropriate along with required staff levels (if necessary); and</w:t>
      </w:r>
    </w:p>
    <w:p w:rsidR="0086094C" w:rsidRDefault="00F12663">
      <w:pPr>
        <w:widowControl/>
        <w:numPr>
          <w:ilvl w:val="3"/>
          <w:numId w:val="1"/>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proofErr w:type="gramStart"/>
      <w:r>
        <w:rPr>
          <w:rFonts w:ascii="Arial" w:eastAsia="Arial" w:hAnsi="Arial" w:cs="Arial"/>
          <w:color w:val="000000"/>
          <w:sz w:val="24"/>
          <w:szCs w:val="24"/>
        </w:rPr>
        <w:t>confirmation</w:t>
      </w:r>
      <w:proofErr w:type="gramEnd"/>
      <w:r>
        <w:rPr>
          <w:rFonts w:ascii="Arial" w:eastAsia="Arial" w:hAnsi="Arial" w:cs="Arial"/>
          <w:color w:val="000000"/>
          <w:sz w:val="24"/>
          <w:szCs w:val="24"/>
        </w:rPr>
        <w:t xml:space="preserve"> of discounts applicable to the Deliverables, as ref</w:t>
      </w:r>
      <w:r>
        <w:rPr>
          <w:rFonts w:ascii="Arial" w:eastAsia="Arial" w:hAnsi="Arial" w:cs="Arial"/>
          <w:color w:val="000000"/>
          <w:sz w:val="24"/>
          <w:szCs w:val="24"/>
        </w:rPr>
        <w:t>erenced in Framework Schedule 3 (Framework Prices) (if applicable).</w:t>
      </w:r>
    </w:p>
    <w:p w:rsidR="0086094C" w:rsidRDefault="00F12663">
      <w:pPr>
        <w:widowControl/>
        <w:numPr>
          <w:ilvl w:val="2"/>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The Supplier shall ensure that any prices submitted in relation to a Further Competition Procedure held pursuant to this Paragraph 3 shall be based on the charging structure and take into </w:t>
      </w:r>
      <w:r>
        <w:rPr>
          <w:rFonts w:ascii="Arial" w:eastAsia="Arial" w:hAnsi="Arial" w:cs="Arial"/>
          <w:color w:val="000000"/>
          <w:sz w:val="24"/>
          <w:szCs w:val="24"/>
        </w:rPr>
        <w:t>account any discount to which the Buyer may be entitled as set out in Framework Schedule 3 (Framework Prices).</w:t>
      </w:r>
    </w:p>
    <w:p w:rsidR="0086094C" w:rsidRDefault="00F12663">
      <w:pPr>
        <w:keepNext/>
        <w:widowControl/>
        <w:numPr>
          <w:ilvl w:val="2"/>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The Supplier agrees that:</w:t>
      </w:r>
    </w:p>
    <w:p w:rsidR="0086094C" w:rsidRDefault="00F12663">
      <w:pPr>
        <w:widowControl/>
        <w:numPr>
          <w:ilvl w:val="3"/>
          <w:numId w:val="1"/>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all tenders submitted by the Supplier in relation to a Further Competition Procedure held pursuant to this Paragraph 3 shall remain open for acceptance by the Buyer for ninety (90) Working Days (or such other period specified in the invitation to tender is</w:t>
      </w:r>
      <w:r>
        <w:rPr>
          <w:rFonts w:ascii="Arial" w:eastAsia="Arial" w:hAnsi="Arial" w:cs="Arial"/>
          <w:color w:val="000000"/>
          <w:sz w:val="24"/>
          <w:szCs w:val="24"/>
        </w:rPr>
        <w:t>sued by the Buyer in accordance with the Call-Off Procedure); and</w:t>
      </w:r>
    </w:p>
    <w:p w:rsidR="0086094C" w:rsidRDefault="00F12663">
      <w:pPr>
        <w:widowControl/>
        <w:numPr>
          <w:ilvl w:val="3"/>
          <w:numId w:val="1"/>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 xml:space="preserve">all tenders submitted by the Supplier are made and will be made in good faith and that the Supplier has not fixed or adjusted and will not  fix or adjust the price of the tender by </w:t>
      </w:r>
      <w:r>
        <w:rPr>
          <w:rFonts w:ascii="Arial" w:eastAsia="Arial" w:hAnsi="Arial" w:cs="Arial"/>
          <w:color w:val="000000"/>
          <w:sz w:val="24"/>
          <w:szCs w:val="24"/>
        </w:rPr>
        <w:lastRenderedPageBreak/>
        <w:t>or in acc</w:t>
      </w:r>
      <w:r>
        <w:rPr>
          <w:rFonts w:ascii="Arial" w:eastAsia="Arial" w:hAnsi="Arial" w:cs="Arial"/>
          <w:color w:val="000000"/>
          <w:sz w:val="24"/>
          <w:szCs w:val="24"/>
        </w:rPr>
        <w:t>ordance with any agreement or arrangement with any other person. The Supplier certifies that it has not and undertakes that it will not:</w:t>
      </w:r>
    </w:p>
    <w:p w:rsidR="0086094C" w:rsidRDefault="00F12663">
      <w:pPr>
        <w:widowControl/>
        <w:numPr>
          <w:ilvl w:val="4"/>
          <w:numId w:val="1"/>
        </w:numPr>
        <w:pBdr>
          <w:top w:val="nil"/>
          <w:left w:val="nil"/>
          <w:bottom w:val="nil"/>
          <w:right w:val="nil"/>
          <w:between w:val="nil"/>
        </w:pBdr>
        <w:tabs>
          <w:tab w:val="left" w:pos="6238"/>
        </w:tabs>
        <w:spacing w:before="120" w:after="120"/>
        <w:ind w:left="3119" w:hanging="566"/>
        <w:rPr>
          <w:rFonts w:ascii="Arial" w:eastAsia="Arial" w:hAnsi="Arial" w:cs="Arial"/>
          <w:color w:val="000000"/>
          <w:sz w:val="24"/>
          <w:szCs w:val="24"/>
        </w:rPr>
      </w:pPr>
      <w:r>
        <w:rPr>
          <w:rFonts w:ascii="Arial" w:eastAsia="Arial" w:hAnsi="Arial" w:cs="Arial"/>
          <w:color w:val="000000"/>
          <w:sz w:val="24"/>
          <w:szCs w:val="24"/>
        </w:rPr>
        <w:t xml:space="preserve">communicate to any person other than the person inviting these tenders the amount or approximate amount of the tender, </w:t>
      </w:r>
      <w:r>
        <w:rPr>
          <w:rFonts w:ascii="Arial" w:eastAsia="Arial" w:hAnsi="Arial" w:cs="Arial"/>
          <w:color w:val="000000"/>
          <w:sz w:val="24"/>
          <w:szCs w:val="24"/>
        </w:rPr>
        <w:t>except where the disclosure, in confidence, of the approximate amount of the tender was necessary to obtain quotations required for the preparation of the tender; and</w:t>
      </w:r>
    </w:p>
    <w:p w:rsidR="0086094C" w:rsidRDefault="00F12663">
      <w:pPr>
        <w:widowControl/>
        <w:numPr>
          <w:ilvl w:val="4"/>
          <w:numId w:val="1"/>
        </w:numPr>
        <w:pBdr>
          <w:top w:val="nil"/>
          <w:left w:val="nil"/>
          <w:bottom w:val="nil"/>
          <w:right w:val="nil"/>
          <w:between w:val="nil"/>
        </w:pBdr>
        <w:tabs>
          <w:tab w:val="left" w:pos="6238"/>
        </w:tabs>
        <w:spacing w:before="120" w:after="120"/>
        <w:ind w:left="3119" w:hanging="566"/>
        <w:rPr>
          <w:rFonts w:ascii="Arial" w:eastAsia="Arial" w:hAnsi="Arial" w:cs="Arial"/>
          <w:color w:val="000000"/>
          <w:sz w:val="24"/>
          <w:szCs w:val="24"/>
        </w:rPr>
      </w:pPr>
      <w:proofErr w:type="gramStart"/>
      <w:r>
        <w:rPr>
          <w:rFonts w:ascii="Arial" w:eastAsia="Arial" w:hAnsi="Arial" w:cs="Arial"/>
          <w:color w:val="000000"/>
          <w:sz w:val="24"/>
          <w:szCs w:val="24"/>
        </w:rPr>
        <w:t>enter</w:t>
      </w:r>
      <w:proofErr w:type="gramEnd"/>
      <w:r>
        <w:rPr>
          <w:rFonts w:ascii="Arial" w:eastAsia="Arial" w:hAnsi="Arial" w:cs="Arial"/>
          <w:color w:val="000000"/>
          <w:sz w:val="24"/>
          <w:szCs w:val="24"/>
        </w:rPr>
        <w:t xml:space="preserve"> into any arrangement or agreement with any other person that he or the other person</w:t>
      </w:r>
      <w:r>
        <w:rPr>
          <w:rFonts w:ascii="Arial" w:eastAsia="Arial" w:hAnsi="Arial" w:cs="Arial"/>
          <w:color w:val="000000"/>
          <w:sz w:val="24"/>
          <w:szCs w:val="24"/>
        </w:rPr>
        <w:t>(s) shall refrain from submitting a tender or as to the amount of any tenders to be submitted.</w:t>
      </w:r>
    </w:p>
    <w:p w:rsidR="0086094C" w:rsidRDefault="00F12663">
      <w:pPr>
        <w:keepNext/>
        <w:widowControl/>
        <w:numPr>
          <w:ilvl w:val="0"/>
          <w:numId w:val="1"/>
        </w:numPr>
        <w:pBdr>
          <w:top w:val="nil"/>
          <w:left w:val="nil"/>
          <w:bottom w:val="nil"/>
          <w:right w:val="nil"/>
          <w:between w:val="nil"/>
        </w:pBdr>
        <w:tabs>
          <w:tab w:val="left" w:pos="142"/>
        </w:tabs>
        <w:spacing w:before="120" w:after="240"/>
        <w:rPr>
          <w:rFonts w:ascii="Arial" w:eastAsia="Arial" w:hAnsi="Arial" w:cs="Arial"/>
          <w:b/>
          <w:smallCaps/>
          <w:color w:val="000000"/>
          <w:sz w:val="24"/>
          <w:szCs w:val="24"/>
        </w:rPr>
      </w:pPr>
      <w:r>
        <w:rPr>
          <w:rFonts w:ascii="Arial Bold" w:eastAsia="Arial Bold" w:hAnsi="Arial Bold" w:cs="Arial Bold"/>
          <w:b/>
          <w:color w:val="000000"/>
          <w:sz w:val="24"/>
          <w:szCs w:val="24"/>
        </w:rPr>
        <w:t>No requirement to award</w:t>
      </w:r>
    </w:p>
    <w:p w:rsidR="0086094C" w:rsidRDefault="00F12663">
      <w:pPr>
        <w:widowControl/>
        <w:numPr>
          <w:ilvl w:val="1"/>
          <w:numId w:val="1"/>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Notwithstanding the fact that the Buyer has followed a procedure as set out above in Paragraph 2 or 3 (as applicable), the Supplier acknowledges and agrees that the Buyer shall be entitled at all times to decline to make an award for its Deliverables and t</w:t>
      </w:r>
      <w:r>
        <w:rPr>
          <w:rFonts w:ascii="Arial" w:eastAsia="Arial" w:hAnsi="Arial" w:cs="Arial"/>
          <w:color w:val="000000"/>
          <w:sz w:val="24"/>
          <w:szCs w:val="24"/>
        </w:rPr>
        <w:t>hat nothing in this Contract shall oblige the Buyer to award any Call-Off Contract.</w:t>
      </w:r>
    </w:p>
    <w:p w:rsidR="0086094C" w:rsidRDefault="00F12663">
      <w:pPr>
        <w:keepNext/>
        <w:widowControl/>
        <w:numPr>
          <w:ilvl w:val="0"/>
          <w:numId w:val="1"/>
        </w:numPr>
        <w:pBdr>
          <w:top w:val="nil"/>
          <w:left w:val="nil"/>
          <w:bottom w:val="nil"/>
          <w:right w:val="nil"/>
          <w:between w:val="nil"/>
        </w:pBdr>
        <w:tabs>
          <w:tab w:val="left" w:pos="142"/>
        </w:tabs>
        <w:spacing w:before="120" w:after="240"/>
        <w:rPr>
          <w:rFonts w:ascii="Arial Bold" w:eastAsia="Arial Bold" w:hAnsi="Arial Bold" w:cs="Arial Bold"/>
          <w:b/>
          <w:color w:val="000000"/>
          <w:sz w:val="24"/>
          <w:szCs w:val="24"/>
        </w:rPr>
      </w:pPr>
      <w:r>
        <w:rPr>
          <w:rFonts w:ascii="Arial Bold" w:eastAsia="Arial Bold" w:hAnsi="Arial Bold" w:cs="Arial Bold"/>
          <w:b/>
          <w:color w:val="000000"/>
          <w:sz w:val="24"/>
          <w:szCs w:val="24"/>
        </w:rPr>
        <w:t>Who is responsible for the award</w:t>
      </w:r>
    </w:p>
    <w:p w:rsidR="0086094C" w:rsidRDefault="00F12663">
      <w:pPr>
        <w:widowControl/>
        <w:numPr>
          <w:ilvl w:val="1"/>
          <w:numId w:val="1"/>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The Supplier acknowledges that the Buyer is independently responsible for the conduct of its award of Call-Off Contracts under this Contrac</w:t>
      </w:r>
      <w:r>
        <w:rPr>
          <w:rFonts w:ascii="Arial" w:eastAsia="Arial" w:hAnsi="Arial" w:cs="Arial"/>
          <w:color w:val="000000"/>
          <w:sz w:val="24"/>
          <w:szCs w:val="24"/>
        </w:rPr>
        <w:t>t and that CCS is not responsible or accountable for and shall have no liability whatsoever, except where it is the Buyer, in relation to:</w:t>
      </w:r>
    </w:p>
    <w:p w:rsidR="0086094C" w:rsidRDefault="00F12663">
      <w:pPr>
        <w:widowControl/>
        <w:numPr>
          <w:ilvl w:val="2"/>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the conduct of Buyer in relation to this Contract; or</w:t>
      </w:r>
    </w:p>
    <w:p w:rsidR="0086094C" w:rsidRDefault="00F12663">
      <w:pPr>
        <w:widowControl/>
        <w:numPr>
          <w:ilvl w:val="2"/>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performance or non-performance of any Call-Off Contracts be</w:t>
      </w:r>
      <w:r>
        <w:rPr>
          <w:rFonts w:ascii="Arial" w:eastAsia="Arial" w:hAnsi="Arial" w:cs="Arial"/>
          <w:color w:val="000000"/>
          <w:sz w:val="24"/>
          <w:szCs w:val="24"/>
        </w:rPr>
        <w:t>tween the Supplier and Buyer entered into pursuant to this Contract.</w:t>
      </w:r>
    </w:p>
    <w:p w:rsidR="0086094C" w:rsidRDefault="00F12663">
      <w:pPr>
        <w:keepNext/>
        <w:widowControl/>
        <w:numPr>
          <w:ilvl w:val="0"/>
          <w:numId w:val="1"/>
        </w:numPr>
        <w:pBdr>
          <w:top w:val="nil"/>
          <w:left w:val="nil"/>
          <w:bottom w:val="nil"/>
          <w:right w:val="nil"/>
          <w:between w:val="nil"/>
        </w:pBdr>
        <w:tabs>
          <w:tab w:val="left" w:pos="142"/>
        </w:tabs>
        <w:spacing w:before="120" w:after="240"/>
        <w:rPr>
          <w:rFonts w:ascii="Arial" w:eastAsia="Arial" w:hAnsi="Arial" w:cs="Arial"/>
          <w:b/>
          <w:smallCaps/>
          <w:color w:val="000000"/>
          <w:sz w:val="24"/>
          <w:szCs w:val="24"/>
        </w:rPr>
      </w:pPr>
      <w:r>
        <w:rPr>
          <w:rFonts w:ascii="Arial Bold" w:eastAsia="Arial Bold" w:hAnsi="Arial Bold" w:cs="Arial Bold"/>
          <w:b/>
          <w:color w:val="000000"/>
          <w:sz w:val="24"/>
          <w:szCs w:val="24"/>
        </w:rPr>
        <w:t>Awarding and creating a Call-Off Contract</w:t>
      </w:r>
    </w:p>
    <w:p w:rsidR="0086094C" w:rsidRDefault="00F12663">
      <w:pPr>
        <w:widowControl/>
        <w:numPr>
          <w:ilvl w:val="1"/>
          <w:numId w:val="1"/>
        </w:numPr>
        <w:pBdr>
          <w:top w:val="nil"/>
          <w:left w:val="nil"/>
          <w:bottom w:val="nil"/>
          <w:right w:val="nil"/>
          <w:between w:val="nil"/>
        </w:pBdr>
        <w:tabs>
          <w:tab w:val="left" w:pos="3054"/>
        </w:tabs>
        <w:spacing w:before="120" w:after="120"/>
        <w:rPr>
          <w:rFonts w:ascii="Arial" w:eastAsia="Arial" w:hAnsi="Arial" w:cs="Arial"/>
          <w:color w:val="000000"/>
          <w:sz w:val="24"/>
          <w:szCs w:val="24"/>
        </w:rPr>
      </w:pPr>
      <w:bookmarkStart w:id="6" w:name="_heading=h.3dy6vkm" w:colFirst="0" w:colLast="0"/>
      <w:bookmarkEnd w:id="6"/>
      <w:r>
        <w:rPr>
          <w:rFonts w:ascii="Arial" w:eastAsia="Arial" w:hAnsi="Arial" w:cs="Arial"/>
          <w:color w:val="000000"/>
          <w:sz w:val="24"/>
          <w:szCs w:val="24"/>
        </w:rPr>
        <w:t xml:space="preserve">Subject to Paragraphs 1 to 5 above and 7, a Buyer may award a Call-Off Contract with the Supplier by sending (including electronically) a signed </w:t>
      </w:r>
      <w:r>
        <w:rPr>
          <w:rFonts w:ascii="Arial" w:eastAsia="Arial" w:hAnsi="Arial" w:cs="Arial"/>
          <w:color w:val="000000"/>
          <w:sz w:val="24"/>
          <w:szCs w:val="24"/>
        </w:rPr>
        <w:t>order form substantially in the form (as may be amended or refined by the Buyer in accordance with Paragraph 3.1.2 above) of the Order Form Template set out in Framework Schedule 6 (Order Form Template and Call-Off Schedules).</w:t>
      </w:r>
    </w:p>
    <w:p w:rsidR="0086094C" w:rsidRDefault="00F12663">
      <w:pPr>
        <w:widowControl/>
        <w:numPr>
          <w:ilvl w:val="1"/>
          <w:numId w:val="1"/>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The Parties agree that any do</w:t>
      </w:r>
      <w:r>
        <w:rPr>
          <w:rFonts w:ascii="Arial" w:eastAsia="Arial" w:hAnsi="Arial" w:cs="Arial"/>
          <w:color w:val="000000"/>
          <w:sz w:val="24"/>
          <w:szCs w:val="24"/>
        </w:rPr>
        <w:t>cument or communication (including any document or communication in the apparent form of a Call-Off Contract) which is not as described in this Paragraph 6 shall not constitute a Call-Off Contract under this Contract.</w:t>
      </w:r>
    </w:p>
    <w:p w:rsidR="0086094C" w:rsidRDefault="00F12663">
      <w:pPr>
        <w:widowControl/>
        <w:numPr>
          <w:ilvl w:val="1"/>
          <w:numId w:val="1"/>
        </w:numPr>
        <w:pBdr>
          <w:top w:val="nil"/>
          <w:left w:val="nil"/>
          <w:bottom w:val="nil"/>
          <w:right w:val="nil"/>
          <w:between w:val="nil"/>
        </w:pBdr>
        <w:tabs>
          <w:tab w:val="left" w:pos="3054"/>
        </w:tabs>
        <w:spacing w:before="120" w:after="120"/>
        <w:rPr>
          <w:rFonts w:ascii="Arial" w:eastAsia="Arial" w:hAnsi="Arial" w:cs="Arial"/>
          <w:color w:val="000000"/>
          <w:sz w:val="24"/>
          <w:szCs w:val="24"/>
        </w:rPr>
      </w:pPr>
      <w:bookmarkStart w:id="7" w:name="_heading=h.1t3h5sf" w:colFirst="0" w:colLast="0"/>
      <w:bookmarkEnd w:id="7"/>
      <w:r>
        <w:rPr>
          <w:rFonts w:ascii="Arial" w:eastAsia="Arial" w:hAnsi="Arial" w:cs="Arial"/>
          <w:color w:val="000000"/>
          <w:sz w:val="24"/>
          <w:szCs w:val="24"/>
        </w:rPr>
        <w:t>On receipt of an order form as describ</w:t>
      </w:r>
      <w:r>
        <w:rPr>
          <w:rFonts w:ascii="Arial" w:eastAsia="Arial" w:hAnsi="Arial" w:cs="Arial"/>
          <w:color w:val="000000"/>
          <w:sz w:val="24"/>
          <w:szCs w:val="24"/>
        </w:rPr>
        <w:t>ed in Paragraph 6.1 from a Buyer the Supplier shall accept the Call-Off Contract by promptly signing and returning (including by electronic means) a copy of the order form to the Buyer concerned.</w:t>
      </w:r>
    </w:p>
    <w:p w:rsidR="0086094C" w:rsidRDefault="00F12663">
      <w:pPr>
        <w:widowControl/>
        <w:numPr>
          <w:ilvl w:val="1"/>
          <w:numId w:val="1"/>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lastRenderedPageBreak/>
        <w:t xml:space="preserve">On receipt of the countersigned Order Form from the Supplier, the Buyer shall send (including by electronic means) a written notice of receipt to the Supplier within two (2) Working Days and the Call </w:t>
      </w:r>
      <w:proofErr w:type="gramStart"/>
      <w:r>
        <w:rPr>
          <w:rFonts w:ascii="Arial" w:eastAsia="Arial" w:hAnsi="Arial" w:cs="Arial"/>
          <w:color w:val="000000"/>
          <w:sz w:val="24"/>
          <w:szCs w:val="24"/>
        </w:rPr>
        <w:t>Off</w:t>
      </w:r>
      <w:proofErr w:type="gramEnd"/>
      <w:r>
        <w:rPr>
          <w:rFonts w:ascii="Arial" w:eastAsia="Arial" w:hAnsi="Arial" w:cs="Arial"/>
          <w:color w:val="000000"/>
          <w:sz w:val="24"/>
          <w:szCs w:val="24"/>
        </w:rPr>
        <w:t xml:space="preserve"> Contract shall be formed with effect from the Call O</w:t>
      </w:r>
      <w:r>
        <w:rPr>
          <w:rFonts w:ascii="Arial" w:eastAsia="Arial" w:hAnsi="Arial" w:cs="Arial"/>
          <w:color w:val="000000"/>
          <w:sz w:val="24"/>
          <w:szCs w:val="24"/>
        </w:rPr>
        <w:t>ff Start Date stated in the Order Form.</w:t>
      </w:r>
    </w:p>
    <w:p w:rsidR="0086094C" w:rsidRDefault="00F12663">
      <w:pPr>
        <w:keepNext/>
        <w:widowControl/>
        <w:numPr>
          <w:ilvl w:val="0"/>
          <w:numId w:val="1"/>
        </w:numPr>
        <w:pBdr>
          <w:top w:val="nil"/>
          <w:left w:val="nil"/>
          <w:bottom w:val="nil"/>
          <w:right w:val="nil"/>
          <w:between w:val="nil"/>
        </w:pBdr>
        <w:tabs>
          <w:tab w:val="left" w:pos="142"/>
        </w:tabs>
        <w:spacing w:before="120" w:after="240"/>
        <w:rPr>
          <w:rFonts w:ascii="Arial" w:eastAsia="Arial" w:hAnsi="Arial" w:cs="Arial"/>
          <w:b/>
          <w:smallCaps/>
          <w:color w:val="000000"/>
          <w:sz w:val="24"/>
          <w:szCs w:val="24"/>
        </w:rPr>
      </w:pPr>
      <w:r>
        <w:rPr>
          <w:rFonts w:ascii="Arial" w:eastAsia="Arial" w:hAnsi="Arial" w:cs="Arial"/>
          <w:b/>
          <w:smallCaps/>
          <w:color w:val="000000"/>
          <w:sz w:val="24"/>
          <w:szCs w:val="24"/>
        </w:rPr>
        <w:t>[</w:t>
      </w:r>
      <w:r>
        <w:rPr>
          <w:rFonts w:ascii="Arial Bold" w:eastAsia="Arial Bold" w:hAnsi="Arial Bold" w:cs="Arial Bold"/>
          <w:b/>
          <w:color w:val="000000"/>
          <w:sz w:val="24"/>
          <w:szCs w:val="24"/>
          <w:highlight w:val="yellow"/>
        </w:rPr>
        <w:t>Guidance:</w:t>
      </w:r>
      <w:r>
        <w:rPr>
          <w:rFonts w:ascii="Arial Bold" w:eastAsia="Arial Bold" w:hAnsi="Arial Bold" w:cs="Arial Bold"/>
          <w:b/>
          <w:color w:val="000000"/>
          <w:sz w:val="24"/>
          <w:szCs w:val="24"/>
        </w:rPr>
        <w:t xml:space="preserve"> </w:t>
      </w:r>
      <w:r>
        <w:rPr>
          <w:rFonts w:ascii="Arial" w:eastAsia="Arial" w:hAnsi="Arial" w:cs="Arial"/>
          <w:color w:val="000000"/>
          <w:sz w:val="24"/>
          <w:szCs w:val="24"/>
        </w:rPr>
        <w:t xml:space="preserve">Include this Paragraph if the buyer has the option of using a reverse auction at call-off. </w:t>
      </w:r>
    </w:p>
    <w:p w:rsidR="0086094C" w:rsidRDefault="00F12663">
      <w:pPr>
        <w:keepNext/>
        <w:widowControl/>
        <w:pBdr>
          <w:top w:val="nil"/>
          <w:left w:val="nil"/>
          <w:bottom w:val="nil"/>
          <w:right w:val="nil"/>
          <w:between w:val="nil"/>
        </w:pBdr>
        <w:tabs>
          <w:tab w:val="left" w:pos="142"/>
        </w:tabs>
        <w:spacing w:before="120" w:after="240"/>
        <w:ind w:left="360"/>
        <w:rPr>
          <w:rFonts w:ascii="Arial" w:eastAsia="Arial" w:hAnsi="Arial" w:cs="Arial"/>
          <w:b/>
          <w:smallCaps/>
          <w:color w:val="000000"/>
          <w:sz w:val="24"/>
          <w:szCs w:val="24"/>
        </w:rPr>
      </w:pPr>
      <w:r>
        <w:rPr>
          <w:rFonts w:ascii="Arial Bold" w:eastAsia="Arial Bold" w:hAnsi="Arial Bold" w:cs="Arial Bold"/>
          <w:b/>
          <w:color w:val="000000"/>
          <w:sz w:val="24"/>
          <w:szCs w:val="24"/>
        </w:rPr>
        <w:t>How e-auctions work</w:t>
      </w:r>
    </w:p>
    <w:p w:rsidR="0086094C" w:rsidRDefault="00F12663">
      <w:pPr>
        <w:widowControl/>
        <w:numPr>
          <w:ilvl w:val="1"/>
          <w:numId w:val="1"/>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The Buyer shall be entitled to include a reverse auction in the Further Competition Procedure</w:t>
      </w:r>
      <w:r>
        <w:rPr>
          <w:rFonts w:ascii="Arial" w:eastAsia="Arial" w:hAnsi="Arial" w:cs="Arial"/>
          <w:color w:val="000000"/>
          <w:sz w:val="24"/>
          <w:szCs w:val="24"/>
        </w:rPr>
        <w:t xml:space="preserve"> in accordance with the rules laid down by the Buyer and the Regulations.</w:t>
      </w:r>
    </w:p>
    <w:p w:rsidR="0086094C" w:rsidRDefault="00F12663">
      <w:pPr>
        <w:widowControl/>
        <w:numPr>
          <w:ilvl w:val="1"/>
          <w:numId w:val="1"/>
        </w:numPr>
        <w:pBdr>
          <w:top w:val="nil"/>
          <w:left w:val="nil"/>
          <w:bottom w:val="nil"/>
          <w:right w:val="nil"/>
          <w:between w:val="nil"/>
        </w:pBdr>
        <w:tabs>
          <w:tab w:val="left" w:pos="3054"/>
        </w:tabs>
        <w:spacing w:before="120" w:after="120"/>
        <w:rPr>
          <w:rFonts w:ascii="Arial" w:eastAsia="Arial" w:hAnsi="Arial" w:cs="Arial"/>
          <w:color w:val="000000"/>
          <w:sz w:val="24"/>
          <w:szCs w:val="24"/>
        </w:rPr>
      </w:pPr>
      <w:bookmarkStart w:id="8" w:name="_heading=h.4d34og8" w:colFirst="0" w:colLast="0"/>
      <w:bookmarkEnd w:id="8"/>
      <w:r>
        <w:rPr>
          <w:rFonts w:ascii="Arial" w:eastAsia="Arial" w:hAnsi="Arial" w:cs="Arial"/>
          <w:color w:val="000000"/>
          <w:sz w:val="24"/>
          <w:szCs w:val="24"/>
        </w:rPr>
        <w:t>Where the Buyer wishes to undertake an electronic reverse auction, where Suppliers compete in real time by bidding as the auction unfolds (</w:t>
      </w:r>
      <w:r>
        <w:rPr>
          <w:rFonts w:ascii="Arial" w:eastAsia="Arial" w:hAnsi="Arial" w:cs="Arial"/>
          <w:b/>
          <w:color w:val="000000"/>
          <w:sz w:val="24"/>
          <w:szCs w:val="24"/>
        </w:rPr>
        <w:t>"Electronic Reverse Auction"</w:t>
      </w:r>
      <w:r>
        <w:rPr>
          <w:rFonts w:ascii="Arial" w:eastAsia="Arial" w:hAnsi="Arial" w:cs="Arial"/>
          <w:color w:val="000000"/>
          <w:sz w:val="24"/>
          <w:szCs w:val="24"/>
        </w:rPr>
        <w:t>) then before u</w:t>
      </w:r>
      <w:r>
        <w:rPr>
          <w:rFonts w:ascii="Arial" w:eastAsia="Arial" w:hAnsi="Arial" w:cs="Arial"/>
          <w:color w:val="000000"/>
          <w:sz w:val="24"/>
          <w:szCs w:val="24"/>
        </w:rPr>
        <w:t>ndertaking it, the Buyer will make an initial full evaluation of all tenders received in response to its Statement of Requirements. The Buyer will then invite to the Electronic Reverse Auction only those tenders that are admissible in accordance with the R</w:t>
      </w:r>
      <w:r>
        <w:rPr>
          <w:rFonts w:ascii="Arial" w:eastAsia="Arial" w:hAnsi="Arial" w:cs="Arial"/>
          <w:color w:val="000000"/>
          <w:sz w:val="24"/>
          <w:szCs w:val="24"/>
        </w:rPr>
        <w:t>egulations. The invitation shall be accompanied by the outcome of the full initial evaluation of the relevant tenders.</w:t>
      </w:r>
    </w:p>
    <w:p w:rsidR="0086094C" w:rsidRDefault="00F12663">
      <w:pPr>
        <w:keepNext/>
        <w:widowControl/>
        <w:numPr>
          <w:ilvl w:val="1"/>
          <w:numId w:val="1"/>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The Buyer will inform the Suppliers of the specification for the Electronic Reverse Auction which shall include:</w:t>
      </w:r>
    </w:p>
    <w:p w:rsidR="0086094C" w:rsidRDefault="00F12663">
      <w:pPr>
        <w:widowControl/>
        <w:numPr>
          <w:ilvl w:val="3"/>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the information to be provided at auction, which must be expressed in figures or percentages of the specified quantifiable features;</w:t>
      </w:r>
    </w:p>
    <w:p w:rsidR="0086094C" w:rsidRDefault="00F12663">
      <w:pPr>
        <w:widowControl/>
        <w:numPr>
          <w:ilvl w:val="3"/>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the mathematical formula to be used to determine automatic ranking of bids on the basis of new prices and/or new values sub</w:t>
      </w:r>
      <w:r>
        <w:rPr>
          <w:rFonts w:ascii="Arial" w:eastAsia="Arial" w:hAnsi="Arial" w:cs="Arial"/>
          <w:color w:val="000000"/>
          <w:sz w:val="24"/>
          <w:szCs w:val="24"/>
        </w:rPr>
        <w:t xml:space="preserve">mitted;  </w:t>
      </w:r>
    </w:p>
    <w:p w:rsidR="0086094C" w:rsidRDefault="00F12663">
      <w:pPr>
        <w:widowControl/>
        <w:numPr>
          <w:ilvl w:val="3"/>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any limits on the values which may be submitted;</w:t>
      </w:r>
    </w:p>
    <w:p w:rsidR="0086094C" w:rsidRDefault="00F12663">
      <w:pPr>
        <w:widowControl/>
        <w:numPr>
          <w:ilvl w:val="3"/>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a description of any information which will be made available to Suppliers in the course of the Electronic Reverse Auction, and when it will be made available to them;</w:t>
      </w:r>
    </w:p>
    <w:p w:rsidR="0086094C" w:rsidRDefault="00F12663">
      <w:pPr>
        <w:widowControl/>
        <w:numPr>
          <w:ilvl w:val="3"/>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bookmarkStart w:id="9" w:name="_heading=h.2s8eyo1" w:colFirst="0" w:colLast="0"/>
      <w:bookmarkEnd w:id="9"/>
      <w:r>
        <w:rPr>
          <w:rFonts w:ascii="Arial" w:eastAsia="Arial" w:hAnsi="Arial" w:cs="Arial"/>
          <w:color w:val="000000"/>
          <w:sz w:val="24"/>
          <w:szCs w:val="24"/>
        </w:rPr>
        <w:t>the conditions under which Su</w:t>
      </w:r>
      <w:r>
        <w:rPr>
          <w:rFonts w:ascii="Arial" w:eastAsia="Arial" w:hAnsi="Arial" w:cs="Arial"/>
          <w:color w:val="000000"/>
          <w:sz w:val="24"/>
          <w:szCs w:val="24"/>
        </w:rPr>
        <w:t>ppliers will be able to bid and, in particular, the minimum differences which will, where appropriate, be required when bidding;</w:t>
      </w:r>
    </w:p>
    <w:p w:rsidR="0086094C" w:rsidRDefault="00F12663">
      <w:pPr>
        <w:widowControl/>
        <w:numPr>
          <w:ilvl w:val="3"/>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relevant information concerning the electronic equipment used and the arrangements and technical specification for connection;</w:t>
      </w:r>
    </w:p>
    <w:p w:rsidR="0086094C" w:rsidRDefault="00F12663">
      <w:pPr>
        <w:widowControl/>
        <w:numPr>
          <w:ilvl w:val="3"/>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subject to Paragraph 7.5, the date and time of the start of the Electronic Reverse Auction; and</w:t>
      </w:r>
    </w:p>
    <w:p w:rsidR="0086094C" w:rsidRDefault="00F12663">
      <w:pPr>
        <w:widowControl/>
        <w:numPr>
          <w:ilvl w:val="3"/>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proofErr w:type="gramStart"/>
      <w:r>
        <w:rPr>
          <w:rFonts w:ascii="Arial" w:eastAsia="Arial" w:hAnsi="Arial" w:cs="Arial"/>
          <w:color w:val="000000"/>
          <w:sz w:val="24"/>
          <w:szCs w:val="24"/>
        </w:rPr>
        <w:t>details</w:t>
      </w:r>
      <w:proofErr w:type="gramEnd"/>
      <w:r>
        <w:rPr>
          <w:rFonts w:ascii="Arial" w:eastAsia="Arial" w:hAnsi="Arial" w:cs="Arial"/>
          <w:color w:val="000000"/>
          <w:sz w:val="24"/>
          <w:szCs w:val="24"/>
        </w:rPr>
        <w:t xml:space="preserve"> of when and how the Electronic Reverse Auction will close.</w:t>
      </w:r>
    </w:p>
    <w:p w:rsidR="0086094C" w:rsidRDefault="00F12663">
      <w:pPr>
        <w:widowControl/>
        <w:numPr>
          <w:ilvl w:val="1"/>
          <w:numId w:val="1"/>
        </w:numPr>
        <w:pBdr>
          <w:top w:val="nil"/>
          <w:left w:val="nil"/>
          <w:bottom w:val="nil"/>
          <w:right w:val="nil"/>
          <w:between w:val="nil"/>
        </w:pBdr>
        <w:tabs>
          <w:tab w:val="left" w:pos="3054"/>
        </w:tabs>
        <w:spacing w:before="120" w:after="120"/>
        <w:rPr>
          <w:rFonts w:ascii="Arial" w:eastAsia="Arial" w:hAnsi="Arial" w:cs="Arial"/>
          <w:color w:val="000000"/>
          <w:sz w:val="24"/>
          <w:szCs w:val="24"/>
        </w:rPr>
      </w:pPr>
      <w:bookmarkStart w:id="10" w:name="_heading=h.17dp8vu" w:colFirst="0" w:colLast="0"/>
      <w:bookmarkEnd w:id="10"/>
      <w:r>
        <w:rPr>
          <w:rFonts w:ascii="Arial" w:eastAsia="Arial" w:hAnsi="Arial" w:cs="Arial"/>
          <w:color w:val="000000"/>
          <w:sz w:val="24"/>
          <w:szCs w:val="24"/>
        </w:rPr>
        <w:lastRenderedPageBreak/>
        <w:t>The Electronic Reverse Auction may not start sooner than two (2) Working Days after the date on which the specification for the Electronic Reverse Auction has been issued.</w:t>
      </w:r>
    </w:p>
    <w:p w:rsidR="0086094C" w:rsidRDefault="00F12663">
      <w:pPr>
        <w:widowControl/>
        <w:numPr>
          <w:ilvl w:val="1"/>
          <w:numId w:val="1"/>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Throughout each phase of the Electronic Reverse Auction the Buyer will communicate t</w:t>
      </w:r>
      <w:r>
        <w:rPr>
          <w:rFonts w:ascii="Arial" w:eastAsia="Arial" w:hAnsi="Arial" w:cs="Arial"/>
          <w:color w:val="000000"/>
          <w:sz w:val="24"/>
          <w:szCs w:val="24"/>
        </w:rPr>
        <w:t>o all Suppliers sufficient information to enable them to ascertain their relative ranking.</w:t>
      </w:r>
    </w:p>
    <w:p w:rsidR="0086094C" w:rsidRDefault="00F12663">
      <w:pPr>
        <w:keepNext/>
        <w:widowControl/>
        <w:numPr>
          <w:ilvl w:val="1"/>
          <w:numId w:val="1"/>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The Supplier acknowledges and agrees that:</w:t>
      </w:r>
    </w:p>
    <w:p w:rsidR="0086094C" w:rsidRDefault="00F12663">
      <w:pPr>
        <w:widowControl/>
        <w:numPr>
          <w:ilvl w:val="3"/>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the Buyer and its officers, servants, agents, group companies, assignees and customers (including CCS) do not guarantee th</w:t>
      </w:r>
      <w:r>
        <w:rPr>
          <w:rFonts w:ascii="Arial" w:eastAsia="Arial" w:hAnsi="Arial" w:cs="Arial"/>
          <w:color w:val="000000"/>
          <w:sz w:val="24"/>
          <w:szCs w:val="24"/>
        </w:rPr>
        <w:t>at its access to the Electronic Reverse Auction will be uninterrupted or error-free;</w:t>
      </w:r>
    </w:p>
    <w:p w:rsidR="0086094C" w:rsidRDefault="00F12663">
      <w:pPr>
        <w:widowControl/>
        <w:numPr>
          <w:ilvl w:val="3"/>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its access to the Electronic Reverse Auction may occasionally be restricted to allow for repairs or maintenance; and</w:t>
      </w:r>
    </w:p>
    <w:p w:rsidR="0086094C" w:rsidRDefault="00F12663">
      <w:pPr>
        <w:widowControl/>
        <w:numPr>
          <w:ilvl w:val="3"/>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proofErr w:type="gramStart"/>
      <w:r>
        <w:rPr>
          <w:rFonts w:ascii="Arial" w:eastAsia="Arial" w:hAnsi="Arial" w:cs="Arial"/>
          <w:color w:val="000000"/>
          <w:sz w:val="24"/>
          <w:szCs w:val="24"/>
        </w:rPr>
        <w:t>it</w:t>
      </w:r>
      <w:proofErr w:type="gramEnd"/>
      <w:r>
        <w:rPr>
          <w:rFonts w:ascii="Arial" w:eastAsia="Arial" w:hAnsi="Arial" w:cs="Arial"/>
          <w:color w:val="000000"/>
          <w:sz w:val="24"/>
          <w:szCs w:val="24"/>
        </w:rPr>
        <w:t xml:space="preserve"> will comply with all such rules that may be imposed</w:t>
      </w:r>
      <w:r>
        <w:rPr>
          <w:rFonts w:ascii="Arial" w:eastAsia="Arial" w:hAnsi="Arial" w:cs="Arial"/>
          <w:color w:val="000000"/>
          <w:sz w:val="24"/>
          <w:szCs w:val="24"/>
        </w:rPr>
        <w:t xml:space="preserve"> by the Buyer in relation to the operation of the Electronic Reverse Auction.</w:t>
      </w:r>
    </w:p>
    <w:p w:rsidR="0086094C" w:rsidRDefault="00F12663">
      <w:pPr>
        <w:keepNext/>
        <w:widowControl/>
        <w:numPr>
          <w:ilvl w:val="1"/>
          <w:numId w:val="1"/>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The Buyer will close the Electronic Reverse Auction on the basis of:</w:t>
      </w:r>
    </w:p>
    <w:p w:rsidR="0086094C" w:rsidRDefault="00F12663">
      <w:pPr>
        <w:widowControl/>
        <w:numPr>
          <w:ilvl w:val="3"/>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a date and time fixed in advance;</w:t>
      </w:r>
    </w:p>
    <w:p w:rsidR="0086094C" w:rsidRDefault="00F12663">
      <w:pPr>
        <w:widowControl/>
        <w:numPr>
          <w:ilvl w:val="3"/>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when no new prices or values meeting the minimum differences required pursu</w:t>
      </w:r>
      <w:r>
        <w:rPr>
          <w:rFonts w:ascii="Arial" w:eastAsia="Arial" w:hAnsi="Arial" w:cs="Arial"/>
          <w:color w:val="000000"/>
          <w:sz w:val="24"/>
          <w:szCs w:val="24"/>
        </w:rPr>
        <w:t>ant to Paragraph 7.3 have been received within the prescribed elapsed time period; or</w:t>
      </w:r>
    </w:p>
    <w:p w:rsidR="0086094C" w:rsidRDefault="00F12663">
      <w:pPr>
        <w:widowControl/>
        <w:numPr>
          <w:ilvl w:val="2"/>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proofErr w:type="gramStart"/>
      <w:r>
        <w:rPr>
          <w:rFonts w:ascii="Arial" w:eastAsia="Arial" w:hAnsi="Arial" w:cs="Arial"/>
          <w:color w:val="000000"/>
          <w:sz w:val="24"/>
          <w:szCs w:val="24"/>
        </w:rPr>
        <w:t>when</w:t>
      </w:r>
      <w:proofErr w:type="gramEnd"/>
      <w:r>
        <w:rPr>
          <w:rFonts w:ascii="Arial" w:eastAsia="Arial" w:hAnsi="Arial" w:cs="Arial"/>
          <w:color w:val="000000"/>
          <w:sz w:val="24"/>
          <w:szCs w:val="24"/>
        </w:rPr>
        <w:t xml:space="preserve"> all the phases have been completed.]</w:t>
      </w:r>
    </w:p>
    <w:p w:rsidR="0086094C" w:rsidRDefault="00F12663">
      <w:pPr>
        <w:keepNext/>
        <w:widowControl/>
        <w:numPr>
          <w:ilvl w:val="0"/>
          <w:numId w:val="1"/>
        </w:numPr>
        <w:pBdr>
          <w:top w:val="nil"/>
          <w:left w:val="nil"/>
          <w:bottom w:val="nil"/>
          <w:right w:val="nil"/>
          <w:between w:val="nil"/>
        </w:pBdr>
        <w:tabs>
          <w:tab w:val="left" w:pos="142"/>
        </w:tabs>
        <w:spacing w:before="120" w:after="240"/>
        <w:rPr>
          <w:rFonts w:ascii="Arial Bold" w:eastAsia="Arial Bold" w:hAnsi="Arial Bold" w:cs="Arial Bold"/>
          <w:b/>
          <w:color w:val="000000"/>
          <w:sz w:val="24"/>
          <w:szCs w:val="24"/>
        </w:rPr>
      </w:pPr>
      <w:r>
        <w:rPr>
          <w:rFonts w:ascii="Arial Bold" w:eastAsia="Arial Bold" w:hAnsi="Arial Bold" w:cs="Arial Bold"/>
          <w:b/>
          <w:color w:val="000000"/>
          <w:sz w:val="24"/>
          <w:szCs w:val="24"/>
        </w:rPr>
        <w:t>Awarding and creating an Exempt Call-off Contract</w:t>
      </w:r>
    </w:p>
    <w:p w:rsidR="0086094C" w:rsidRDefault="00F12663">
      <w:pPr>
        <w:keepNext/>
        <w:widowControl/>
        <w:numPr>
          <w:ilvl w:val="1"/>
          <w:numId w:val="1"/>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Paragraph 1 above shall not apply to an Exempt Buyer.</w:t>
      </w:r>
    </w:p>
    <w:p w:rsidR="0086094C" w:rsidRDefault="00F12663">
      <w:pPr>
        <w:keepNext/>
        <w:widowControl/>
        <w:numPr>
          <w:ilvl w:val="1"/>
          <w:numId w:val="1"/>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 If a potential Exempt Buyer decides to source Deliverables through this Framework Contract, it will award an Exempt Call-off Contract for Deliverables in accordance with the procedure in this Schedule as modified by this Paragraph 8 and in accordance with</w:t>
      </w:r>
      <w:r>
        <w:rPr>
          <w:rFonts w:ascii="Arial" w:eastAsia="Arial" w:hAnsi="Arial" w:cs="Arial"/>
          <w:color w:val="000000"/>
          <w:sz w:val="24"/>
          <w:szCs w:val="24"/>
        </w:rPr>
        <w:t xml:space="preserve"> any legal requirements applicable to that potential Exempt Buyer.</w:t>
      </w:r>
    </w:p>
    <w:p w:rsidR="0086094C" w:rsidRDefault="00F12663">
      <w:pPr>
        <w:keepNext/>
        <w:widowControl/>
        <w:numPr>
          <w:ilvl w:val="1"/>
          <w:numId w:val="1"/>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A potential Exempt Buyer may award an Exempt Call-off Contract under this Framework Contract without holding a further competition in accordance with Paragraph 2 above as modified by Paragr</w:t>
      </w:r>
      <w:r>
        <w:rPr>
          <w:rFonts w:ascii="Arial" w:eastAsia="Arial" w:hAnsi="Arial" w:cs="Arial"/>
          <w:color w:val="000000"/>
          <w:sz w:val="24"/>
          <w:szCs w:val="24"/>
        </w:rPr>
        <w:t>aph 8.4 below or through a Further Competition Procedure in accordance with Paragraph 3 as modified by Paragraph 8.5 below.</w:t>
      </w:r>
    </w:p>
    <w:p w:rsidR="0086094C" w:rsidRDefault="00F12663">
      <w:pPr>
        <w:keepNext/>
        <w:widowControl/>
        <w:numPr>
          <w:ilvl w:val="1"/>
          <w:numId w:val="1"/>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Notwithstanding the procedure set out in Paragraph 2 above, if the potential Exempt Buyer can determine that:</w:t>
      </w:r>
    </w:p>
    <w:p w:rsidR="0086094C" w:rsidRDefault="00F12663">
      <w:pPr>
        <w:widowControl/>
        <w:numPr>
          <w:ilvl w:val="2"/>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its Deliverables can b</w:t>
      </w:r>
      <w:r>
        <w:rPr>
          <w:rFonts w:ascii="Arial" w:eastAsia="Arial" w:hAnsi="Arial" w:cs="Arial"/>
          <w:color w:val="000000"/>
          <w:sz w:val="24"/>
          <w:szCs w:val="24"/>
        </w:rPr>
        <w:t>e met by the Supplier’s catalogues and description of the Deliverables as set out in Framework Schedule 1 (Specification) and Framework Schedule 2 (Framework Tender); and</w:t>
      </w:r>
    </w:p>
    <w:p w:rsidR="0086094C" w:rsidRDefault="00F12663">
      <w:pPr>
        <w:widowControl/>
        <w:numPr>
          <w:ilvl w:val="2"/>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the Supplier will accept any required Exempt Procurement Amendments,</w:t>
      </w:r>
    </w:p>
    <w:p w:rsidR="0086094C" w:rsidRDefault="00F12663">
      <w:pPr>
        <w:widowControl/>
        <w:pBdr>
          <w:top w:val="nil"/>
          <w:left w:val="nil"/>
          <w:bottom w:val="nil"/>
          <w:right w:val="nil"/>
          <w:between w:val="nil"/>
        </w:pBdr>
        <w:tabs>
          <w:tab w:val="left" w:pos="3641"/>
        </w:tabs>
        <w:spacing w:before="120" w:after="120"/>
        <w:ind w:left="1890"/>
        <w:rPr>
          <w:rFonts w:ascii="Arial" w:eastAsia="Arial" w:hAnsi="Arial" w:cs="Arial"/>
          <w:color w:val="000000"/>
          <w:sz w:val="24"/>
          <w:szCs w:val="24"/>
        </w:rPr>
      </w:pPr>
      <w:proofErr w:type="gramStart"/>
      <w:r>
        <w:rPr>
          <w:rFonts w:ascii="Arial" w:eastAsia="Arial" w:hAnsi="Arial" w:cs="Arial"/>
          <w:color w:val="000000"/>
          <w:sz w:val="24"/>
          <w:szCs w:val="24"/>
        </w:rPr>
        <w:lastRenderedPageBreak/>
        <w:t>then</w:t>
      </w:r>
      <w:proofErr w:type="gramEnd"/>
      <w:r>
        <w:rPr>
          <w:rFonts w:ascii="Arial" w:eastAsia="Arial" w:hAnsi="Arial" w:cs="Arial"/>
          <w:color w:val="000000"/>
          <w:sz w:val="24"/>
          <w:szCs w:val="24"/>
        </w:rPr>
        <w:t xml:space="preserve"> the Exempt Buyer may award an Exempt Call-off Contract to that Supplier in accordance with Paragraph 6 above.</w:t>
      </w:r>
    </w:p>
    <w:p w:rsidR="0086094C" w:rsidRDefault="00F12663">
      <w:pPr>
        <w:keepNext/>
        <w:widowControl/>
        <w:numPr>
          <w:ilvl w:val="1"/>
          <w:numId w:val="1"/>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If the potential Exempt Buyer requires the Supplier to develop proposals or a solution in respect of Deliverables, then the potential Exempt </w:t>
      </w:r>
      <w:r>
        <w:rPr>
          <w:rFonts w:ascii="Arial" w:eastAsia="Arial" w:hAnsi="Arial" w:cs="Arial"/>
          <w:color w:val="000000"/>
          <w:sz w:val="24"/>
          <w:szCs w:val="24"/>
        </w:rPr>
        <w:t>Buyer may at its discretion use the procedure set out in Paragraph 3 above as modified by this Paragraph 8.5. In that case, references to “the Regulations” in Paragraph 3 above shall be read as references to “any legal requirements applicable to that poten</w:t>
      </w:r>
      <w:r>
        <w:rPr>
          <w:rFonts w:ascii="Arial" w:eastAsia="Arial" w:hAnsi="Arial" w:cs="Arial"/>
          <w:color w:val="000000"/>
          <w:sz w:val="24"/>
          <w:szCs w:val="24"/>
        </w:rPr>
        <w:t>tial Exempt Buyer”, and the Exempt Buyer shall be permitted to modify the Further Competition Procedure in accordance with any legal requirements applicable to the Exempt Buyer.</w:t>
      </w:r>
    </w:p>
    <w:p w:rsidR="0086094C" w:rsidRDefault="00F12663">
      <w:pPr>
        <w:keepNext/>
        <w:widowControl/>
        <w:numPr>
          <w:ilvl w:val="1"/>
          <w:numId w:val="1"/>
        </w:numPr>
        <w:pBdr>
          <w:top w:val="nil"/>
          <w:left w:val="nil"/>
          <w:bottom w:val="nil"/>
          <w:right w:val="nil"/>
          <w:between w:val="nil"/>
        </w:pBdr>
        <w:tabs>
          <w:tab w:val="left" w:pos="3054"/>
        </w:tabs>
        <w:spacing w:before="120" w:after="120"/>
        <w:rPr>
          <w:rFonts w:ascii="Arial" w:eastAsia="Arial" w:hAnsi="Arial" w:cs="Arial"/>
          <w:color w:val="000000"/>
          <w:sz w:val="24"/>
          <w:szCs w:val="24"/>
        </w:rPr>
      </w:pPr>
      <w:bookmarkStart w:id="11" w:name="_heading=h.3rdcrjn" w:colFirst="0" w:colLast="0"/>
      <w:bookmarkEnd w:id="11"/>
      <w:r>
        <w:rPr>
          <w:rFonts w:ascii="Arial" w:eastAsia="Arial" w:hAnsi="Arial" w:cs="Arial"/>
          <w:color w:val="000000"/>
          <w:sz w:val="24"/>
          <w:szCs w:val="24"/>
        </w:rPr>
        <w:t>Paragraphs 8.1 to 8.5 above are without prejudice to an Exempt Buyer’s ability</w:t>
      </w:r>
      <w:r>
        <w:rPr>
          <w:rFonts w:ascii="Arial" w:eastAsia="Arial" w:hAnsi="Arial" w:cs="Arial"/>
          <w:color w:val="000000"/>
          <w:sz w:val="24"/>
          <w:szCs w:val="24"/>
        </w:rPr>
        <w:t xml:space="preserve"> to make such further modifications to the Call-Off Procedure as it considers necessary and in accordance with any legal requirements applicable to that potential Exempt Buyer.</w:t>
      </w:r>
    </w:p>
    <w:p w:rsidR="0086094C" w:rsidRDefault="00F12663">
      <w:pPr>
        <w:rPr>
          <w:rFonts w:ascii="Arial" w:eastAsia="Arial" w:hAnsi="Arial" w:cs="Arial"/>
          <w:sz w:val="24"/>
          <w:szCs w:val="24"/>
        </w:rPr>
      </w:pPr>
      <w:r>
        <w:br w:type="page"/>
      </w:r>
    </w:p>
    <w:p w:rsidR="0086094C" w:rsidRDefault="0086094C">
      <w:pPr>
        <w:widowControl/>
        <w:pBdr>
          <w:top w:val="nil"/>
          <w:left w:val="nil"/>
          <w:bottom w:val="nil"/>
          <w:right w:val="nil"/>
          <w:between w:val="nil"/>
        </w:pBdr>
        <w:tabs>
          <w:tab w:val="left" w:pos="3054"/>
        </w:tabs>
        <w:spacing w:before="120" w:after="120"/>
        <w:ind w:left="936" w:hanging="576"/>
        <w:rPr>
          <w:rFonts w:ascii="Arial" w:eastAsia="Arial" w:hAnsi="Arial" w:cs="Arial"/>
          <w:color w:val="000000"/>
          <w:sz w:val="24"/>
          <w:szCs w:val="24"/>
        </w:rPr>
      </w:pPr>
    </w:p>
    <w:p w:rsidR="0086094C" w:rsidRDefault="00F12663">
      <w:pPr>
        <w:widowControl/>
        <w:pBdr>
          <w:top w:val="nil"/>
          <w:left w:val="nil"/>
          <w:bottom w:val="nil"/>
          <w:right w:val="nil"/>
          <w:between w:val="nil"/>
        </w:pBdr>
        <w:tabs>
          <w:tab w:val="left" w:pos="3054"/>
        </w:tabs>
        <w:spacing w:before="120" w:after="120"/>
        <w:ind w:left="936" w:hanging="576"/>
        <w:rPr>
          <w:rFonts w:ascii="Arial" w:eastAsia="Arial" w:hAnsi="Arial" w:cs="Arial"/>
          <w:color w:val="000000"/>
          <w:sz w:val="36"/>
          <w:szCs w:val="36"/>
        </w:rPr>
      </w:pPr>
      <w:r>
        <w:rPr>
          <w:rFonts w:ascii="Arial" w:eastAsia="Arial" w:hAnsi="Arial" w:cs="Arial"/>
          <w:b/>
          <w:color w:val="000000"/>
          <w:sz w:val="36"/>
          <w:szCs w:val="36"/>
        </w:rPr>
        <w:t>Part 2: Award Criteria</w:t>
      </w:r>
    </w:p>
    <w:p w:rsidR="0086094C" w:rsidRDefault="00F12663">
      <w:pPr>
        <w:widowControl/>
        <w:numPr>
          <w:ilvl w:val="0"/>
          <w:numId w:val="3"/>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This Part 2 lays out award criteria for direct award (Annex A) and for further competition (Annex B) in accordance with the Call-Off Procedure.</w:t>
      </w:r>
    </w:p>
    <w:p w:rsidR="0086094C" w:rsidRDefault="00F12663">
      <w:pPr>
        <w:widowControl/>
        <w:numPr>
          <w:ilvl w:val="0"/>
          <w:numId w:val="3"/>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A Call-Off Contract may be awarded on the basis of most economically advantageous tender ("MEAT").</w:t>
      </w:r>
    </w:p>
    <w:p w:rsidR="0086094C" w:rsidRDefault="00F12663">
      <w:pPr>
        <w:rPr>
          <w:rFonts w:ascii="Arial" w:eastAsia="Arial" w:hAnsi="Arial" w:cs="Arial"/>
          <w:b/>
          <w:smallCaps/>
          <w:sz w:val="24"/>
          <w:szCs w:val="24"/>
        </w:rPr>
      </w:pPr>
      <w:r>
        <w:br w:type="page"/>
      </w:r>
    </w:p>
    <w:p w:rsidR="0086094C" w:rsidRDefault="00F12663">
      <w:pPr>
        <w:keepNext/>
        <w:widowControl/>
        <w:pBdr>
          <w:top w:val="nil"/>
          <w:left w:val="nil"/>
          <w:bottom w:val="nil"/>
          <w:right w:val="nil"/>
          <w:between w:val="nil"/>
        </w:pBdr>
        <w:spacing w:before="240" w:after="240"/>
        <w:ind w:firstLine="426"/>
        <w:rPr>
          <w:rFonts w:ascii="Arial Bold" w:eastAsia="Arial Bold" w:hAnsi="Arial Bold" w:cs="Arial Bold"/>
          <w:b/>
          <w:color w:val="000000"/>
          <w:sz w:val="36"/>
          <w:szCs w:val="36"/>
        </w:rPr>
      </w:pPr>
      <w:r>
        <w:rPr>
          <w:rFonts w:ascii="Arial Bold" w:eastAsia="Arial Bold" w:hAnsi="Arial Bold" w:cs="Arial Bold"/>
          <w:b/>
          <w:color w:val="000000"/>
          <w:sz w:val="36"/>
          <w:szCs w:val="36"/>
        </w:rPr>
        <w:lastRenderedPageBreak/>
        <w:t>Annex A: Di</w:t>
      </w:r>
      <w:r>
        <w:rPr>
          <w:rFonts w:ascii="Arial Bold" w:eastAsia="Arial Bold" w:hAnsi="Arial Bold" w:cs="Arial Bold"/>
          <w:b/>
          <w:color w:val="000000"/>
          <w:sz w:val="36"/>
          <w:szCs w:val="36"/>
        </w:rPr>
        <w:t>rect award criteria</w:t>
      </w:r>
    </w:p>
    <w:p w:rsidR="0086094C" w:rsidRDefault="00F12663">
      <w:pPr>
        <w:widowControl/>
        <w:pBdr>
          <w:top w:val="nil"/>
          <w:left w:val="nil"/>
          <w:bottom w:val="nil"/>
          <w:right w:val="nil"/>
          <w:between w:val="nil"/>
        </w:pBdr>
        <w:tabs>
          <w:tab w:val="left" w:pos="851"/>
        </w:tabs>
        <w:spacing w:after="240"/>
        <w:jc w:val="both"/>
        <w:rPr>
          <w:rFonts w:ascii="Arial" w:eastAsia="Arial" w:hAnsi="Arial" w:cs="Arial"/>
          <w:color w:val="000000"/>
          <w:sz w:val="24"/>
          <w:szCs w:val="24"/>
        </w:rPr>
      </w:pPr>
      <w:r>
        <w:rPr>
          <w:rFonts w:ascii="Arial" w:eastAsia="Arial" w:hAnsi="Arial" w:cs="Arial"/>
          <w:color w:val="000000"/>
          <w:sz w:val="24"/>
          <w:szCs w:val="24"/>
        </w:rPr>
        <w:t>The following criteria and weightings shall apply to the evaluation for direct award of each Call-Off.</w:t>
      </w:r>
    </w:p>
    <w:tbl>
      <w:tblPr>
        <w:tblStyle w:val="a1"/>
        <w:tblW w:w="92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95"/>
        <w:gridCol w:w="5715"/>
      </w:tblGrid>
      <w:tr w:rsidR="0086094C">
        <w:tc>
          <w:tcPr>
            <w:tcW w:w="3495" w:type="dxa"/>
            <w:shd w:val="clear" w:color="auto" w:fill="E7E6E6"/>
          </w:tcPr>
          <w:p w:rsidR="0086094C" w:rsidRDefault="00F12663">
            <w:pPr>
              <w:keepNext/>
              <w:widowControl/>
              <w:pBdr>
                <w:top w:val="nil"/>
                <w:left w:val="nil"/>
                <w:bottom w:val="nil"/>
                <w:right w:val="nil"/>
                <w:between w:val="nil"/>
              </w:pBdr>
              <w:spacing w:before="120" w:after="120"/>
              <w:ind w:left="142"/>
              <w:jc w:val="both"/>
              <w:rPr>
                <w:rFonts w:ascii="Arial" w:eastAsia="Arial" w:hAnsi="Arial" w:cs="Arial"/>
                <w:b/>
                <w:color w:val="000000"/>
                <w:sz w:val="24"/>
                <w:szCs w:val="24"/>
              </w:rPr>
            </w:pPr>
            <w:r>
              <w:rPr>
                <w:rFonts w:ascii="Arial" w:eastAsia="Arial" w:hAnsi="Arial" w:cs="Arial"/>
                <w:b/>
                <w:color w:val="000000"/>
                <w:sz w:val="24"/>
                <w:szCs w:val="24"/>
              </w:rPr>
              <w:t xml:space="preserve">Criteria </w:t>
            </w:r>
          </w:p>
        </w:tc>
        <w:tc>
          <w:tcPr>
            <w:tcW w:w="5715" w:type="dxa"/>
            <w:shd w:val="clear" w:color="auto" w:fill="E7E6E6"/>
          </w:tcPr>
          <w:p w:rsidR="0086094C" w:rsidRDefault="00F12663">
            <w:pPr>
              <w:widowControl/>
              <w:spacing w:before="120" w:after="200" w:line="276" w:lineRule="auto"/>
              <w:rPr>
                <w:rFonts w:ascii="Arial" w:eastAsia="Arial" w:hAnsi="Arial" w:cs="Arial"/>
                <w:b/>
                <w:sz w:val="24"/>
                <w:szCs w:val="24"/>
              </w:rPr>
            </w:pPr>
            <w:r>
              <w:rPr>
                <w:rFonts w:ascii="Arial" w:eastAsia="Arial" w:hAnsi="Arial" w:cs="Arial"/>
                <w:b/>
                <w:sz w:val="24"/>
                <w:szCs w:val="24"/>
              </w:rPr>
              <w:t xml:space="preserve">Relative weighting percentage </w:t>
            </w:r>
          </w:p>
          <w:p w:rsidR="0086094C" w:rsidRDefault="00F12663">
            <w:pPr>
              <w:widowControl/>
              <w:spacing w:after="200" w:line="276" w:lineRule="auto"/>
              <w:rPr>
                <w:rFonts w:ascii="Arial" w:eastAsia="Arial" w:hAnsi="Arial" w:cs="Arial"/>
                <w:b/>
                <w:sz w:val="24"/>
                <w:szCs w:val="24"/>
              </w:rPr>
            </w:pPr>
            <w:r>
              <w:rPr>
                <w:rFonts w:ascii="Arial" w:eastAsia="Arial" w:hAnsi="Arial" w:cs="Arial"/>
                <w:sz w:val="24"/>
                <w:szCs w:val="24"/>
              </w:rPr>
              <w:t>[</w:t>
            </w:r>
            <w:r>
              <w:rPr>
                <w:rFonts w:ascii="Arial" w:eastAsia="Arial" w:hAnsi="Arial" w:cs="Arial"/>
                <w:b/>
                <w:sz w:val="24"/>
                <w:szCs w:val="24"/>
                <w:highlight w:val="yellow"/>
              </w:rPr>
              <w:t>Guidance:</w:t>
            </w:r>
            <w:r>
              <w:rPr>
                <w:rFonts w:ascii="Arial" w:eastAsia="Arial" w:hAnsi="Arial" w:cs="Arial"/>
                <w:sz w:val="24"/>
                <w:szCs w:val="24"/>
              </w:rPr>
              <w:t xml:space="preserve"> where weighting is not possible for objective reasons, list the criteria in decreasing order of importance, amend the column heading to read 'Rank order of importance where 1 = most important, 2 = second most important </w:t>
            </w:r>
            <w:proofErr w:type="gramStart"/>
            <w:r>
              <w:rPr>
                <w:rFonts w:ascii="Arial" w:eastAsia="Arial" w:hAnsi="Arial" w:cs="Arial"/>
                <w:sz w:val="24"/>
                <w:szCs w:val="24"/>
              </w:rPr>
              <w:t>etc.'.</w:t>
            </w:r>
            <w:proofErr w:type="gramEnd"/>
            <w:r>
              <w:rPr>
                <w:rFonts w:ascii="Arial" w:eastAsia="Arial" w:hAnsi="Arial" w:cs="Arial"/>
                <w:sz w:val="24"/>
                <w:szCs w:val="24"/>
              </w:rPr>
              <w:t xml:space="preserve"> The figure 1 must be in the t</w:t>
            </w:r>
            <w:r>
              <w:rPr>
                <w:rFonts w:ascii="Arial" w:eastAsia="Arial" w:hAnsi="Arial" w:cs="Arial"/>
                <w:sz w:val="24"/>
                <w:szCs w:val="24"/>
              </w:rPr>
              <w:t>op row, running down to the least important in the bottom row.]</w:t>
            </w:r>
          </w:p>
        </w:tc>
      </w:tr>
      <w:tr w:rsidR="0086094C">
        <w:trPr>
          <w:trHeight w:val="240"/>
        </w:trPr>
        <w:tc>
          <w:tcPr>
            <w:tcW w:w="9210" w:type="dxa"/>
            <w:gridSpan w:val="2"/>
          </w:tcPr>
          <w:p w:rsidR="0086094C" w:rsidRDefault="00F12663">
            <w:pPr>
              <w:keepNext/>
              <w:widowControl/>
              <w:spacing w:before="240" w:after="240"/>
              <w:jc w:val="both"/>
              <w:rPr>
                <w:rFonts w:ascii="Arial" w:eastAsia="Arial" w:hAnsi="Arial" w:cs="Arial"/>
                <w:sz w:val="24"/>
                <w:szCs w:val="24"/>
              </w:rPr>
            </w:pPr>
            <w:r>
              <w:rPr>
                <w:rFonts w:ascii="Arial" w:eastAsia="Arial" w:hAnsi="Arial" w:cs="Arial"/>
                <w:sz w:val="24"/>
                <w:szCs w:val="24"/>
              </w:rPr>
              <w:t>The Direct Award Criteria applied to the tenders of those Suppliers appointed to this Framework Contract shall be as follows: Criteria Value for money: e.g. the Buyer believes that the Suppli</w:t>
            </w:r>
            <w:r>
              <w:rPr>
                <w:rFonts w:ascii="Arial" w:eastAsia="Arial" w:hAnsi="Arial" w:cs="Arial"/>
                <w:sz w:val="24"/>
                <w:szCs w:val="24"/>
              </w:rPr>
              <w:t>er provides demonstrable value for money, which may include but is not limited to:</w:t>
            </w:r>
          </w:p>
          <w:p w:rsidR="0086094C" w:rsidRDefault="00F12663">
            <w:pPr>
              <w:keepNext/>
              <w:widowControl/>
              <w:spacing w:before="240" w:after="240"/>
              <w:jc w:val="both"/>
              <w:rPr>
                <w:rFonts w:ascii="Arial" w:eastAsia="Arial" w:hAnsi="Arial" w:cs="Arial"/>
                <w:sz w:val="24"/>
                <w:szCs w:val="24"/>
              </w:rPr>
            </w:pPr>
            <w:r>
              <w:rPr>
                <w:rFonts w:ascii="Arial" w:eastAsia="Arial" w:hAnsi="Arial" w:cs="Arial"/>
                <w:sz w:val="24"/>
                <w:szCs w:val="24"/>
              </w:rPr>
              <w:t>● Cost effectiveness;</w:t>
            </w:r>
          </w:p>
          <w:p w:rsidR="0086094C" w:rsidRDefault="00F12663">
            <w:pPr>
              <w:keepNext/>
              <w:widowControl/>
              <w:spacing w:before="240" w:after="240"/>
              <w:jc w:val="both"/>
              <w:rPr>
                <w:rFonts w:ascii="Arial" w:eastAsia="Arial" w:hAnsi="Arial" w:cs="Arial"/>
                <w:sz w:val="24"/>
                <w:szCs w:val="24"/>
              </w:rPr>
            </w:pPr>
            <w:r>
              <w:rPr>
                <w:rFonts w:ascii="Arial" w:eastAsia="Arial" w:hAnsi="Arial" w:cs="Arial"/>
                <w:sz w:val="24"/>
                <w:szCs w:val="24"/>
              </w:rPr>
              <w:t>● Price; and</w:t>
            </w:r>
          </w:p>
          <w:p w:rsidR="0086094C" w:rsidRDefault="00F12663">
            <w:pPr>
              <w:keepNext/>
              <w:widowControl/>
              <w:spacing w:before="240" w:after="120"/>
              <w:jc w:val="both"/>
              <w:rPr>
                <w:rFonts w:ascii="Arial" w:eastAsia="Arial" w:hAnsi="Arial" w:cs="Arial"/>
                <w:sz w:val="24"/>
                <w:szCs w:val="24"/>
                <w:highlight w:val="yellow"/>
              </w:rPr>
            </w:pPr>
            <w:r>
              <w:rPr>
                <w:rFonts w:ascii="Arial" w:eastAsia="Arial" w:hAnsi="Arial" w:cs="Arial"/>
                <w:sz w:val="24"/>
                <w:szCs w:val="24"/>
              </w:rPr>
              <w:t>● Quality</w:t>
            </w:r>
          </w:p>
        </w:tc>
      </w:tr>
    </w:tbl>
    <w:p w:rsidR="0086094C" w:rsidRDefault="0086094C">
      <w:pPr>
        <w:widowControl/>
        <w:pBdr>
          <w:top w:val="nil"/>
          <w:left w:val="nil"/>
          <w:bottom w:val="nil"/>
          <w:right w:val="nil"/>
          <w:between w:val="nil"/>
        </w:pBdr>
        <w:ind w:left="1080"/>
        <w:jc w:val="both"/>
        <w:rPr>
          <w:rFonts w:ascii="Arial" w:eastAsia="Arial" w:hAnsi="Arial" w:cs="Arial"/>
          <w:color w:val="FFFFFF"/>
          <w:sz w:val="24"/>
          <w:szCs w:val="24"/>
        </w:rPr>
      </w:pPr>
    </w:p>
    <w:p w:rsidR="0086094C" w:rsidRDefault="00F12663">
      <w:pPr>
        <w:keepNext/>
        <w:widowControl/>
        <w:pBdr>
          <w:top w:val="nil"/>
          <w:left w:val="nil"/>
          <w:bottom w:val="nil"/>
          <w:right w:val="nil"/>
          <w:between w:val="nil"/>
        </w:pBdr>
        <w:spacing w:before="240" w:after="240"/>
        <w:rPr>
          <w:rFonts w:ascii="Arial Bold" w:eastAsia="Arial Bold" w:hAnsi="Arial Bold" w:cs="Arial Bold"/>
          <w:b/>
          <w:color w:val="000000"/>
          <w:sz w:val="36"/>
          <w:szCs w:val="36"/>
        </w:rPr>
      </w:pPr>
      <w:r>
        <w:br w:type="page"/>
      </w:r>
      <w:r>
        <w:rPr>
          <w:rFonts w:ascii="Arial Bold" w:eastAsia="Arial Bold" w:hAnsi="Arial Bold" w:cs="Arial Bold"/>
          <w:b/>
          <w:color w:val="000000"/>
          <w:sz w:val="36"/>
          <w:szCs w:val="36"/>
        </w:rPr>
        <w:lastRenderedPageBreak/>
        <w:t>Annex B: Further Competition Award Criteria</w:t>
      </w:r>
    </w:p>
    <w:p w:rsidR="0086094C" w:rsidRDefault="00F12663">
      <w:pPr>
        <w:widowControl/>
        <w:pBdr>
          <w:top w:val="nil"/>
          <w:left w:val="nil"/>
          <w:bottom w:val="nil"/>
          <w:right w:val="nil"/>
          <w:between w:val="nil"/>
        </w:pBdr>
        <w:tabs>
          <w:tab w:val="left" w:pos="851"/>
        </w:tabs>
        <w:spacing w:after="240"/>
        <w:jc w:val="both"/>
        <w:rPr>
          <w:rFonts w:ascii="Arial" w:eastAsia="Arial" w:hAnsi="Arial" w:cs="Arial"/>
          <w:sz w:val="24"/>
          <w:szCs w:val="24"/>
        </w:rPr>
      </w:pPr>
      <w:r>
        <w:rPr>
          <w:rFonts w:ascii="Arial" w:eastAsia="Arial" w:hAnsi="Arial" w:cs="Arial"/>
          <w:color w:val="000000"/>
          <w:sz w:val="24"/>
          <w:szCs w:val="24"/>
        </w:rPr>
        <w:t>The following criteria and weightings shall apply to the evaluation of tenders received through the Further Competition Procedure:</w:t>
      </w:r>
    </w:p>
    <w:p w:rsidR="0086094C" w:rsidRDefault="00F12663">
      <w:pPr>
        <w:widowControl/>
        <w:tabs>
          <w:tab w:val="left" w:pos="851"/>
        </w:tabs>
        <w:spacing w:after="240"/>
        <w:jc w:val="both"/>
        <w:rPr>
          <w:rFonts w:ascii="Arial" w:eastAsia="Arial" w:hAnsi="Arial" w:cs="Arial"/>
          <w:sz w:val="24"/>
          <w:szCs w:val="24"/>
        </w:rPr>
      </w:pPr>
      <w:r>
        <w:rPr>
          <w:rFonts w:ascii="Arial" w:eastAsia="Arial" w:hAnsi="Arial" w:cs="Arial"/>
          <w:sz w:val="24"/>
          <w:szCs w:val="24"/>
        </w:rPr>
        <w:t>The following criteria and weightings shall apply to the evaluation of tenders received through the Further Competition Proce</w:t>
      </w:r>
      <w:r>
        <w:rPr>
          <w:rFonts w:ascii="Arial" w:eastAsia="Arial" w:hAnsi="Arial" w:cs="Arial"/>
          <w:sz w:val="24"/>
          <w:szCs w:val="24"/>
        </w:rPr>
        <w:t>dure:</w:t>
      </w:r>
    </w:p>
    <w:tbl>
      <w:tblPr>
        <w:tblStyle w:val="a2"/>
        <w:tblW w:w="8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5"/>
        <w:gridCol w:w="6375"/>
      </w:tblGrid>
      <w:tr w:rsidR="0086094C">
        <w:tc>
          <w:tcPr>
            <w:tcW w:w="2325" w:type="dxa"/>
            <w:shd w:val="clear" w:color="auto" w:fill="E7E6E6"/>
          </w:tcPr>
          <w:p w:rsidR="0086094C" w:rsidRDefault="00F12663">
            <w:pPr>
              <w:widowControl/>
              <w:tabs>
                <w:tab w:val="left" w:pos="851"/>
              </w:tabs>
              <w:spacing w:before="120" w:after="120"/>
              <w:jc w:val="both"/>
              <w:rPr>
                <w:rFonts w:ascii="Arial" w:eastAsia="Arial" w:hAnsi="Arial" w:cs="Arial"/>
              </w:rPr>
            </w:pPr>
            <w:r>
              <w:rPr>
                <w:rFonts w:ascii="Arial" w:eastAsia="Arial" w:hAnsi="Arial" w:cs="Arial"/>
                <w:b/>
              </w:rPr>
              <w:t>Criteria</w:t>
            </w:r>
          </w:p>
        </w:tc>
        <w:tc>
          <w:tcPr>
            <w:tcW w:w="6375" w:type="dxa"/>
            <w:shd w:val="clear" w:color="auto" w:fill="E7E6E6"/>
          </w:tcPr>
          <w:p w:rsidR="0086094C" w:rsidRDefault="00F12663">
            <w:pPr>
              <w:widowControl/>
              <w:tabs>
                <w:tab w:val="left" w:pos="851"/>
              </w:tabs>
              <w:spacing w:before="120" w:after="120"/>
              <w:jc w:val="both"/>
              <w:rPr>
                <w:rFonts w:ascii="Arial" w:eastAsia="Arial" w:hAnsi="Arial" w:cs="Arial"/>
                <w:b/>
              </w:rPr>
            </w:pPr>
            <w:r>
              <w:rPr>
                <w:rFonts w:ascii="Arial" w:eastAsia="Arial" w:hAnsi="Arial" w:cs="Arial"/>
                <w:b/>
              </w:rPr>
              <w:t>Percentage Weightings (or rank order of importance where applicable) - to be set by the Customer conducting the Further Competition Procedure</w:t>
            </w:r>
          </w:p>
        </w:tc>
      </w:tr>
      <w:tr w:rsidR="0086094C">
        <w:tc>
          <w:tcPr>
            <w:tcW w:w="2325" w:type="dxa"/>
          </w:tcPr>
          <w:p w:rsidR="0086094C" w:rsidRDefault="00F12663">
            <w:pPr>
              <w:widowControl/>
              <w:tabs>
                <w:tab w:val="left" w:pos="851"/>
              </w:tabs>
              <w:spacing w:after="240"/>
              <w:jc w:val="both"/>
              <w:rPr>
                <w:rFonts w:ascii="Arial" w:eastAsia="Arial" w:hAnsi="Arial" w:cs="Arial"/>
              </w:rPr>
            </w:pPr>
            <w:r>
              <w:rPr>
                <w:rFonts w:ascii="Arial" w:eastAsia="Arial" w:hAnsi="Arial" w:cs="Arial"/>
              </w:rPr>
              <w:t xml:space="preserve">Quality </w:t>
            </w:r>
          </w:p>
        </w:tc>
        <w:tc>
          <w:tcPr>
            <w:tcW w:w="6375" w:type="dxa"/>
          </w:tcPr>
          <w:p w:rsidR="0086094C" w:rsidRDefault="00F12663">
            <w:pPr>
              <w:widowControl/>
              <w:tabs>
                <w:tab w:val="left" w:pos="851"/>
              </w:tabs>
              <w:spacing w:after="240"/>
              <w:jc w:val="both"/>
              <w:rPr>
                <w:rFonts w:ascii="Arial" w:eastAsia="Arial" w:hAnsi="Arial" w:cs="Arial"/>
              </w:rPr>
            </w:pPr>
            <w:r>
              <w:rPr>
                <w:rFonts w:ascii="Arial" w:eastAsia="Arial" w:hAnsi="Arial" w:cs="Arial"/>
              </w:rPr>
              <w:t>10% - 90%</w:t>
            </w:r>
          </w:p>
        </w:tc>
      </w:tr>
      <w:tr w:rsidR="0086094C">
        <w:tc>
          <w:tcPr>
            <w:tcW w:w="2325" w:type="dxa"/>
          </w:tcPr>
          <w:p w:rsidR="0086094C" w:rsidRDefault="00F12663">
            <w:pPr>
              <w:widowControl/>
              <w:tabs>
                <w:tab w:val="left" w:pos="851"/>
              </w:tabs>
              <w:spacing w:after="240"/>
              <w:jc w:val="both"/>
              <w:rPr>
                <w:rFonts w:ascii="Arial" w:eastAsia="Arial" w:hAnsi="Arial" w:cs="Arial"/>
              </w:rPr>
            </w:pPr>
            <w:r>
              <w:rPr>
                <w:rFonts w:ascii="Arial" w:eastAsia="Arial" w:hAnsi="Arial" w:cs="Arial"/>
              </w:rPr>
              <w:t xml:space="preserve">Price </w:t>
            </w:r>
          </w:p>
        </w:tc>
        <w:tc>
          <w:tcPr>
            <w:tcW w:w="6375" w:type="dxa"/>
          </w:tcPr>
          <w:p w:rsidR="0086094C" w:rsidRDefault="00F12663">
            <w:pPr>
              <w:widowControl/>
              <w:tabs>
                <w:tab w:val="left" w:pos="851"/>
              </w:tabs>
              <w:spacing w:after="240"/>
              <w:jc w:val="both"/>
              <w:rPr>
                <w:rFonts w:ascii="Arial" w:eastAsia="Arial" w:hAnsi="Arial" w:cs="Arial"/>
              </w:rPr>
            </w:pPr>
            <w:r>
              <w:rPr>
                <w:rFonts w:ascii="Arial" w:eastAsia="Arial" w:hAnsi="Arial" w:cs="Arial"/>
              </w:rPr>
              <w:t>10% - 90%</w:t>
            </w:r>
          </w:p>
        </w:tc>
      </w:tr>
    </w:tbl>
    <w:p w:rsidR="0086094C" w:rsidRDefault="0086094C">
      <w:pPr>
        <w:widowControl/>
        <w:tabs>
          <w:tab w:val="left" w:pos="851"/>
        </w:tabs>
        <w:spacing w:after="240"/>
        <w:jc w:val="both"/>
        <w:rPr>
          <w:rFonts w:ascii="Arial" w:eastAsia="Arial" w:hAnsi="Arial" w:cs="Arial"/>
          <w:sz w:val="24"/>
          <w:szCs w:val="24"/>
        </w:rPr>
      </w:pPr>
    </w:p>
    <w:p w:rsidR="0086094C" w:rsidRDefault="0086094C">
      <w:pPr>
        <w:widowControl/>
        <w:pBdr>
          <w:top w:val="nil"/>
          <w:left w:val="nil"/>
          <w:bottom w:val="nil"/>
          <w:right w:val="nil"/>
          <w:between w:val="nil"/>
        </w:pBdr>
        <w:tabs>
          <w:tab w:val="left" w:pos="851"/>
        </w:tabs>
        <w:spacing w:after="240"/>
        <w:jc w:val="both"/>
        <w:rPr>
          <w:rFonts w:ascii="Arial" w:eastAsia="Arial" w:hAnsi="Arial" w:cs="Arial"/>
          <w:color w:val="000000"/>
          <w:sz w:val="24"/>
          <w:szCs w:val="24"/>
        </w:rPr>
        <w:sectPr w:rsidR="0086094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20"/>
        </w:sectPr>
      </w:pPr>
    </w:p>
    <w:p w:rsidR="0086094C" w:rsidRDefault="0086094C">
      <w:pPr>
        <w:widowControl/>
        <w:pBdr>
          <w:top w:val="nil"/>
          <w:left w:val="nil"/>
          <w:bottom w:val="nil"/>
          <w:right w:val="nil"/>
          <w:between w:val="nil"/>
        </w:pBdr>
        <w:jc w:val="both"/>
        <w:rPr>
          <w:rFonts w:ascii="Arial" w:eastAsia="Arial" w:hAnsi="Arial" w:cs="Arial"/>
          <w:color w:val="FFFFFF"/>
          <w:sz w:val="24"/>
          <w:szCs w:val="24"/>
        </w:rPr>
      </w:pPr>
    </w:p>
    <w:sectPr w:rsidR="0086094C">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63" w:rsidRDefault="00F12663">
      <w:r>
        <w:separator/>
      </w:r>
    </w:p>
  </w:endnote>
  <w:endnote w:type="continuationSeparator" w:id="0">
    <w:p w:rsidR="00F12663" w:rsidRDefault="00F12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TZhongsong">
    <w:panose1 w:val="00000000000000000000"/>
    <w:charset w:val="00"/>
    <w:family w:val="roman"/>
    <w:notTrueType/>
    <w:pitch w:val="default"/>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94C" w:rsidRDefault="0086094C">
    <w:pPr>
      <w:widowControl/>
      <w:pBdr>
        <w:top w:val="nil"/>
        <w:left w:val="nil"/>
        <w:bottom w:val="nil"/>
        <w:right w:val="nil"/>
        <w:between w:val="nil"/>
      </w:pBdr>
      <w:tabs>
        <w:tab w:val="center" w:pos="4513"/>
        <w:tab w:val="right" w:pos="9026"/>
      </w:tabs>
      <w:jc w:val="both"/>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94C" w:rsidRDefault="00F12663">
    <w:pPr>
      <w:tabs>
        <w:tab w:val="center" w:pos="4513"/>
        <w:tab w:val="right" w:pos="9026"/>
      </w:tabs>
      <w:rPr>
        <w:rFonts w:ascii="Arial" w:eastAsia="Arial" w:hAnsi="Arial" w:cs="Arial"/>
        <w:sz w:val="20"/>
        <w:szCs w:val="20"/>
      </w:rPr>
    </w:pPr>
    <w:r>
      <w:rPr>
        <w:rFonts w:ascii="Arial" w:eastAsia="Arial" w:hAnsi="Arial" w:cs="Arial"/>
        <w:sz w:val="20"/>
        <w:szCs w:val="20"/>
      </w:rPr>
      <w:t xml:space="preserve">Framework Ref: </w:t>
    </w:r>
    <w:r>
      <w:rPr>
        <w:rFonts w:ascii="Arial" w:eastAsia="Arial" w:hAnsi="Arial" w:cs="Arial"/>
        <w:sz w:val="20"/>
        <w:szCs w:val="20"/>
      </w:rPr>
      <w:t>RM</w:t>
    </w:r>
    <w:r w:rsidR="00AC6DFC">
      <w:rPr>
        <w:rFonts w:ascii="Arial" w:eastAsia="Arial" w:hAnsi="Arial" w:cs="Arial"/>
        <w:sz w:val="20"/>
        <w:szCs w:val="20"/>
      </w:rPr>
      <w:t>6290</w:t>
    </w:r>
    <w:bookmarkStart w:id="12" w:name="_GoBack"/>
    <w:bookmarkEnd w:id="12"/>
    <w:r>
      <w:rPr>
        <w:rFonts w:ascii="Arial" w:eastAsia="Arial" w:hAnsi="Arial" w:cs="Arial"/>
        <w:sz w:val="20"/>
        <w:szCs w:val="20"/>
      </w:rPr>
      <w:tab/>
    </w:r>
    <w:r>
      <w:rPr>
        <w:rFonts w:ascii="Arial" w:eastAsia="Arial" w:hAnsi="Arial" w:cs="Arial"/>
        <w:sz w:val="20"/>
        <w:szCs w:val="20"/>
      </w:rPr>
      <w:t xml:space="preserve">                                           </w:t>
    </w:r>
  </w:p>
  <w:p w:rsidR="0086094C" w:rsidRDefault="00F12663">
    <w:pPr>
      <w:widowControl/>
      <w:pBdr>
        <w:top w:val="nil"/>
        <w:left w:val="nil"/>
        <w:bottom w:val="nil"/>
        <w:right w:val="nil"/>
        <w:between w:val="nil"/>
      </w:pBdr>
      <w:tabs>
        <w:tab w:val="center" w:pos="4513"/>
        <w:tab w:val="right" w:pos="9026"/>
      </w:tabs>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AC6DFC">
      <w:rPr>
        <w:rFonts w:ascii="Arial" w:eastAsia="Arial" w:hAnsi="Arial" w:cs="Arial"/>
        <w:color w:val="000000"/>
        <w:sz w:val="20"/>
        <w:szCs w:val="20"/>
      </w:rPr>
      <w:fldChar w:fldCharType="separate"/>
    </w:r>
    <w:r w:rsidR="00AC6DFC">
      <w:rPr>
        <w:rFonts w:ascii="Arial" w:eastAsia="Arial" w:hAnsi="Arial" w:cs="Arial"/>
        <w:noProof/>
        <w:color w:val="000000"/>
        <w:sz w:val="20"/>
        <w:szCs w:val="20"/>
      </w:rPr>
      <w:t>11</w:t>
    </w:r>
    <w:r>
      <w:rPr>
        <w:rFonts w:ascii="Arial" w:eastAsia="Arial" w:hAnsi="Arial" w:cs="Arial"/>
        <w:color w:val="000000"/>
        <w:sz w:val="20"/>
        <w:szCs w:val="20"/>
      </w:rPr>
      <w:fldChar w:fldCharType="end"/>
    </w:r>
  </w:p>
  <w:p w:rsidR="0086094C" w:rsidRDefault="00F12663">
    <w:pPr>
      <w:tabs>
        <w:tab w:val="left" w:pos="720"/>
        <w:tab w:val="left" w:pos="1440"/>
        <w:tab w:val="left" w:pos="2160"/>
        <w:tab w:val="left" w:pos="2880"/>
        <w:tab w:val="left" w:pos="3600"/>
        <w:tab w:val="center" w:pos="4513"/>
      </w:tabs>
      <w:rPr>
        <w:rFonts w:ascii="Arial" w:eastAsia="Arial" w:hAnsi="Arial" w:cs="Arial"/>
        <w:sz w:val="20"/>
        <w:szCs w:val="20"/>
      </w:rPr>
    </w:pPr>
    <w:bookmarkStart w:id="13" w:name="_heading=h.gjdgxs" w:colFirst="0" w:colLast="0"/>
    <w:bookmarkEnd w:id="13"/>
    <w:r>
      <w:rPr>
        <w:rFonts w:ascii="Arial" w:eastAsia="Arial" w:hAnsi="Arial" w:cs="Arial"/>
        <w:sz w:val="20"/>
        <w:szCs w:val="20"/>
      </w:rPr>
      <w:t xml:space="preserve">Model </w:t>
    </w:r>
    <w:proofErr w:type="gramStart"/>
    <w:r>
      <w:rPr>
        <w:rFonts w:ascii="Arial" w:eastAsia="Arial" w:hAnsi="Arial" w:cs="Arial"/>
        <w:sz w:val="20"/>
        <w:szCs w:val="20"/>
      </w:rPr>
      <w:t>Version :</w:t>
    </w:r>
    <w:proofErr w:type="gramEnd"/>
    <w:r>
      <w:rPr>
        <w:rFonts w:ascii="Arial" w:eastAsia="Arial" w:hAnsi="Arial" w:cs="Arial"/>
        <w:sz w:val="20"/>
        <w:szCs w:val="20"/>
      </w:rPr>
      <w:t xml:space="preserve"> v3.3</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94C" w:rsidRDefault="0086094C">
    <w:pPr>
      <w:widowControl/>
      <w:pBdr>
        <w:top w:val="nil"/>
        <w:left w:val="nil"/>
        <w:bottom w:val="nil"/>
        <w:right w:val="nil"/>
        <w:between w:val="nil"/>
      </w:pBdr>
      <w:tabs>
        <w:tab w:val="center" w:pos="4513"/>
        <w:tab w:val="right" w:pos="9026"/>
      </w:tabs>
      <w:jc w:val="both"/>
      <w:rPr>
        <w:color w:val="000000"/>
      </w:rPr>
    </w:pPr>
  </w:p>
  <w:p w:rsidR="0086094C" w:rsidRDefault="00F12663">
    <w:pPr>
      <w:tabs>
        <w:tab w:val="center" w:pos="4513"/>
        <w:tab w:val="right" w:pos="9026"/>
      </w:tabs>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r>
  </w:p>
  <w:p w:rsidR="0086094C" w:rsidRDefault="00F12663">
    <w:pPr>
      <w:tabs>
        <w:tab w:val="center" w:pos="4513"/>
        <w:tab w:val="right" w:pos="9026"/>
      </w:tabs>
      <w:rPr>
        <w:rFonts w:ascii="Arial" w:eastAsia="Arial" w:hAnsi="Arial" w:cs="Arial"/>
        <w:sz w:val="20"/>
        <w:szCs w:val="20"/>
      </w:rPr>
    </w:pPr>
    <w:r>
      <w:rPr>
        <w:rFonts w:ascii="Arial" w:eastAsia="Arial" w:hAnsi="Arial" w:cs="Arial"/>
        <w:sz w:val="20"/>
        <w:szCs w:val="20"/>
      </w:rPr>
      <w:t>Project Version: 1.0</w:t>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end"/>
    </w:r>
  </w:p>
  <w:p w:rsidR="0086094C" w:rsidRDefault="00F12663">
    <w:pPr>
      <w:tabs>
        <w:tab w:val="left" w:pos="720"/>
        <w:tab w:val="left" w:pos="1440"/>
        <w:tab w:val="left" w:pos="2160"/>
        <w:tab w:val="left" w:pos="2880"/>
        <w:tab w:val="left" w:pos="3600"/>
        <w:tab w:val="center" w:pos="4513"/>
      </w:tabs>
      <w:rPr>
        <w:rFonts w:ascii="Arial" w:eastAsia="Arial" w:hAnsi="Arial" w:cs="Arial"/>
        <w:sz w:val="20"/>
        <w:szCs w:val="20"/>
      </w:rPr>
    </w:pPr>
    <w:r>
      <w:rPr>
        <w:rFonts w:ascii="Arial" w:eastAsia="Arial" w:hAnsi="Arial" w:cs="Arial"/>
        <w:sz w:val="20"/>
        <w:szCs w:val="20"/>
      </w:rPr>
      <w:t xml:space="preserve">Model </w:t>
    </w:r>
    <w:proofErr w:type="gramStart"/>
    <w:r>
      <w:rPr>
        <w:rFonts w:ascii="Arial" w:eastAsia="Arial" w:hAnsi="Arial" w:cs="Arial"/>
        <w:sz w:val="20"/>
        <w:szCs w:val="20"/>
      </w:rPr>
      <w:t>Version :</w:t>
    </w:r>
    <w:proofErr w:type="gramEnd"/>
    <w:r>
      <w:rPr>
        <w:rFonts w:ascii="Arial" w:eastAsia="Arial" w:hAnsi="Arial" w:cs="Arial"/>
        <w:sz w:val="20"/>
        <w:szCs w:val="20"/>
      </w:rPr>
      <w:t xml:space="preserve">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63" w:rsidRDefault="00F12663">
      <w:r>
        <w:separator/>
      </w:r>
    </w:p>
  </w:footnote>
  <w:footnote w:type="continuationSeparator" w:id="0">
    <w:p w:rsidR="00F12663" w:rsidRDefault="00F12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94C" w:rsidRDefault="0086094C">
    <w:pPr>
      <w:widowControl/>
      <w:pBdr>
        <w:top w:val="nil"/>
        <w:left w:val="nil"/>
        <w:bottom w:val="nil"/>
        <w:right w:val="nil"/>
        <w:between w:val="nil"/>
      </w:pBdr>
      <w:tabs>
        <w:tab w:val="center" w:pos="4513"/>
        <w:tab w:val="right" w:pos="9026"/>
      </w:tabs>
      <w:jc w:val="both"/>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94C" w:rsidRDefault="00F12663">
    <w:pPr>
      <w:widowControl/>
      <w:pBdr>
        <w:top w:val="nil"/>
        <w:left w:val="nil"/>
        <w:bottom w:val="nil"/>
        <w:right w:val="nil"/>
        <w:between w:val="nil"/>
      </w:pBdr>
      <w:tabs>
        <w:tab w:val="center" w:pos="4513"/>
        <w:tab w:val="right" w:pos="9026"/>
      </w:tabs>
      <w:jc w:val="both"/>
      <w:rPr>
        <w:rFonts w:ascii="Arial" w:eastAsia="Arial" w:hAnsi="Arial" w:cs="Arial"/>
        <w:b/>
        <w:color w:val="000000"/>
        <w:sz w:val="20"/>
        <w:szCs w:val="20"/>
      </w:rPr>
    </w:pPr>
    <w:r>
      <w:rPr>
        <w:rFonts w:ascii="Arial" w:eastAsia="Arial" w:hAnsi="Arial" w:cs="Arial"/>
        <w:b/>
        <w:color w:val="000000"/>
        <w:sz w:val="20"/>
        <w:szCs w:val="20"/>
      </w:rPr>
      <w:t>Framework Schedule 7 (Call-Off Award Procedure)</w:t>
    </w:r>
  </w:p>
  <w:p w:rsidR="0086094C" w:rsidRDefault="00F12663">
    <w:pPr>
      <w:widowControl/>
      <w:pBdr>
        <w:top w:val="nil"/>
        <w:left w:val="nil"/>
        <w:bottom w:val="nil"/>
        <w:right w:val="nil"/>
        <w:between w:val="nil"/>
      </w:pBdr>
      <w:tabs>
        <w:tab w:val="center" w:pos="4513"/>
        <w:tab w:val="right" w:pos="9026"/>
      </w:tabs>
      <w:jc w:val="both"/>
      <w:rPr>
        <w:rFonts w:ascii="Arial" w:eastAsia="Arial" w:hAnsi="Arial" w:cs="Arial"/>
        <w:color w:val="000000"/>
        <w:sz w:val="20"/>
        <w:szCs w:val="20"/>
      </w:rPr>
    </w:pPr>
    <w:r>
      <w:rPr>
        <w:rFonts w:ascii="Arial" w:eastAsia="Arial" w:hAnsi="Arial" w:cs="Arial"/>
        <w:color w:val="000000"/>
        <w:sz w:val="20"/>
        <w:szCs w:val="20"/>
      </w:rPr>
      <w:t>Crown Copyright 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94C" w:rsidRDefault="00F12663">
    <w:pPr>
      <w:widowControl/>
      <w:pBdr>
        <w:top w:val="nil"/>
        <w:left w:val="nil"/>
        <w:bottom w:val="nil"/>
        <w:right w:val="nil"/>
        <w:between w:val="nil"/>
      </w:pBdr>
      <w:tabs>
        <w:tab w:val="center" w:pos="4513"/>
        <w:tab w:val="right" w:pos="9026"/>
      </w:tabs>
      <w:jc w:val="both"/>
      <w:rPr>
        <w:rFonts w:ascii="Arial" w:eastAsia="Arial" w:hAnsi="Arial" w:cs="Arial"/>
        <w:b/>
        <w:color w:val="BFBFBF"/>
        <w:sz w:val="20"/>
        <w:szCs w:val="20"/>
      </w:rPr>
    </w:pPr>
    <w:r>
      <w:rPr>
        <w:rFonts w:ascii="Arial" w:eastAsia="Arial" w:hAnsi="Arial" w:cs="Arial"/>
        <w:b/>
        <w:color w:val="BFBFBF"/>
        <w:sz w:val="20"/>
        <w:szCs w:val="20"/>
      </w:rPr>
      <w:t>Framework Schedule 7 (Call-Off Award Procedure)</w:t>
    </w:r>
  </w:p>
  <w:p w:rsidR="0086094C" w:rsidRDefault="00F12663">
    <w:pPr>
      <w:widowControl/>
      <w:pBdr>
        <w:top w:val="nil"/>
        <w:left w:val="nil"/>
        <w:bottom w:val="nil"/>
        <w:right w:val="nil"/>
        <w:between w:val="nil"/>
      </w:pBdr>
      <w:tabs>
        <w:tab w:val="center" w:pos="4513"/>
        <w:tab w:val="right" w:pos="9026"/>
      </w:tabs>
      <w:jc w:val="both"/>
      <w:rPr>
        <w:rFonts w:ascii="Arial" w:eastAsia="Arial" w:hAnsi="Arial" w:cs="Arial"/>
        <w:color w:val="BFBFBF"/>
        <w:sz w:val="20"/>
        <w:szCs w:val="20"/>
      </w:rPr>
    </w:pPr>
    <w:r>
      <w:rPr>
        <w:rFonts w:ascii="Arial" w:eastAsia="Arial" w:hAnsi="Arial" w:cs="Arial"/>
        <w:color w:val="BFBFBF"/>
        <w:sz w:val="20"/>
        <w:szCs w:val="20"/>
      </w:rPr>
      <w:t>Crown Copyright 2018</w:t>
    </w:r>
  </w:p>
  <w:p w:rsidR="0086094C" w:rsidRDefault="0086094C">
    <w:pPr>
      <w:widowControl/>
      <w:pBdr>
        <w:top w:val="nil"/>
        <w:left w:val="nil"/>
        <w:bottom w:val="nil"/>
        <w:right w:val="nil"/>
        <w:between w:val="nil"/>
      </w:pBdr>
      <w:tabs>
        <w:tab w:val="center" w:pos="4513"/>
        <w:tab w:val="right" w:pos="9026"/>
      </w:tabs>
      <w:jc w:val="both"/>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A36B2"/>
    <w:multiLevelType w:val="multilevel"/>
    <w:tmpl w:val="EC3AF40A"/>
    <w:lvl w:ilvl="0">
      <w:start w:val="1"/>
      <w:numFmt w:val="decimal"/>
      <w:pStyle w:val="FAMainHeading"/>
      <w:lvlText w:val="%1."/>
      <w:lvlJc w:val="left"/>
      <w:pPr>
        <w:tabs>
          <w:tab w:val="num" w:pos="720"/>
        </w:tabs>
        <w:ind w:left="720" w:hanging="720"/>
      </w:pPr>
    </w:lvl>
    <w:lvl w:ilvl="1">
      <w:start w:val="1"/>
      <w:numFmt w:val="decimal"/>
      <w:pStyle w:val="FALevel1"/>
      <w:lvlText w:val="%2."/>
      <w:lvlJc w:val="left"/>
      <w:pPr>
        <w:tabs>
          <w:tab w:val="num" w:pos="1440"/>
        </w:tabs>
        <w:ind w:left="1440" w:hanging="720"/>
      </w:pPr>
    </w:lvl>
    <w:lvl w:ilvl="2">
      <w:start w:val="1"/>
      <w:numFmt w:val="decimal"/>
      <w:pStyle w:val="FALevel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3B87F22"/>
    <w:multiLevelType w:val="multilevel"/>
    <w:tmpl w:val="0388E078"/>
    <w:lvl w:ilvl="0">
      <w:start w:val="1"/>
      <w:numFmt w:val="decimal"/>
      <w:lvlText w:val="%1."/>
      <w:lvlJc w:val="left"/>
      <w:pPr>
        <w:ind w:left="360" w:hanging="360"/>
      </w:pPr>
      <w:rPr>
        <w:b/>
        <w:i w:val="0"/>
        <w:smallCaps w:val="0"/>
        <w:strike w:val="0"/>
        <w:color w:val="00000A"/>
        <w:sz w:val="24"/>
        <w:szCs w:val="24"/>
        <w:u w:val="none"/>
        <w:vertAlign w:val="baseline"/>
      </w:rPr>
    </w:lvl>
    <w:lvl w:ilvl="1">
      <w:start w:val="1"/>
      <w:numFmt w:val="decimal"/>
      <w:lvlText w:val="%1.%2"/>
      <w:lvlJc w:val="left"/>
      <w:pPr>
        <w:ind w:left="1080" w:hanging="360"/>
      </w:pPr>
      <w:rPr>
        <w:b w:val="0"/>
        <w:i w:val="0"/>
        <w:smallCaps w:val="0"/>
        <w:strike w:val="0"/>
        <w:color w:val="00000A"/>
        <w:sz w:val="22"/>
        <w:szCs w:val="22"/>
        <w:u w:val="none"/>
        <w:vertAlign w:val="baseline"/>
      </w:rPr>
    </w:lvl>
    <w:lvl w:ilvl="2">
      <w:start w:val="1"/>
      <w:numFmt w:val="decimal"/>
      <w:lvlText w:val="%1.%2.%3"/>
      <w:lvlJc w:val="left"/>
      <w:pPr>
        <w:ind w:left="2610" w:hanging="720"/>
      </w:pPr>
      <w:rPr>
        <w:b w:val="0"/>
        <w:i w:val="0"/>
        <w:smallCaps w:val="0"/>
        <w:strike w:val="0"/>
        <w:color w:val="00000A"/>
        <w:sz w:val="22"/>
        <w:szCs w:val="22"/>
        <w:u w:val="none"/>
        <w:vertAlign w:val="baseline"/>
      </w:rPr>
    </w:lvl>
    <w:lvl w:ilvl="3">
      <w:start w:val="1"/>
      <w:numFmt w:val="lowerLetter"/>
      <w:lvlText w:val="(%4)"/>
      <w:lvlJc w:val="left"/>
      <w:pPr>
        <w:ind w:left="2847" w:hanging="720"/>
      </w:pPr>
      <w:rPr>
        <w:b w:val="0"/>
        <w:i w:val="0"/>
        <w:smallCaps w:val="0"/>
        <w:strike w:val="0"/>
        <w:color w:val="00000A"/>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55405284"/>
    <w:multiLevelType w:val="multilevel"/>
    <w:tmpl w:val="8ECEDC40"/>
    <w:lvl w:ilvl="0">
      <w:start w:val="1"/>
      <w:numFmt w:val="decimal"/>
      <w:lvlText w:val="%1."/>
      <w:lvlJc w:val="left"/>
      <w:pPr>
        <w:ind w:left="360" w:hanging="360"/>
      </w:pPr>
      <w:rPr>
        <w:b/>
        <w:i w:val="0"/>
        <w:smallCaps w:val="0"/>
        <w:strike w:val="0"/>
        <w:color w:val="00000A"/>
        <w:sz w:val="24"/>
        <w:szCs w:val="24"/>
        <w:u w:val="none"/>
        <w:vertAlign w:val="baseline"/>
      </w:rPr>
    </w:lvl>
    <w:lvl w:ilvl="1">
      <w:start w:val="1"/>
      <w:numFmt w:val="decimal"/>
      <w:lvlText w:val="%1.%2"/>
      <w:lvlJc w:val="left"/>
      <w:pPr>
        <w:ind w:left="1080" w:hanging="360"/>
      </w:pPr>
      <w:rPr>
        <w:b w:val="0"/>
        <w:i w:val="0"/>
        <w:smallCaps w:val="0"/>
        <w:strike w:val="0"/>
        <w:color w:val="00000A"/>
        <w:sz w:val="24"/>
        <w:szCs w:val="24"/>
        <w:u w:val="none"/>
        <w:vertAlign w:val="baseline"/>
      </w:rPr>
    </w:lvl>
    <w:lvl w:ilvl="2">
      <w:start w:val="1"/>
      <w:numFmt w:val="decimal"/>
      <w:lvlText w:val="%1.%2.%3"/>
      <w:lvlJc w:val="left"/>
      <w:pPr>
        <w:ind w:left="2610" w:hanging="720"/>
      </w:pPr>
      <w:rPr>
        <w:b w:val="0"/>
        <w:i w:val="0"/>
        <w:smallCaps w:val="0"/>
        <w:strike w:val="0"/>
        <w:color w:val="00000A"/>
        <w:sz w:val="24"/>
        <w:szCs w:val="24"/>
        <w:u w:val="none"/>
        <w:vertAlign w:val="baseline"/>
      </w:rPr>
    </w:lvl>
    <w:lvl w:ilvl="3">
      <w:start w:val="1"/>
      <w:numFmt w:val="lowerLetter"/>
      <w:lvlText w:val="(%4)"/>
      <w:lvlJc w:val="left"/>
      <w:pPr>
        <w:ind w:left="2847" w:hanging="720"/>
      </w:pPr>
      <w:rPr>
        <w:b w:val="0"/>
        <w:i w:val="0"/>
        <w:smallCaps w:val="0"/>
        <w:strike w:val="0"/>
        <w:color w:val="00000A"/>
        <w:sz w:val="24"/>
        <w:szCs w:val="24"/>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7C436D36"/>
    <w:multiLevelType w:val="multilevel"/>
    <w:tmpl w:val="EAAA05F6"/>
    <w:lvl w:ilvl="0">
      <w:start w:val="1"/>
      <w:numFmt w:val="decimal"/>
      <w:lvlText w:val="%1."/>
      <w:lvlJc w:val="left"/>
      <w:pPr>
        <w:ind w:left="1080" w:hanging="360"/>
      </w:pPr>
      <w:rPr>
        <w:b w:val="0"/>
        <w:i w:val="0"/>
        <w:smallCaps w:val="0"/>
        <w:strike w:val="0"/>
        <w:color w:val="00000A"/>
        <w:sz w:val="24"/>
        <w:szCs w:val="24"/>
        <w:u w:val="none"/>
        <w:vertAlign w:val="baseline"/>
      </w:rPr>
    </w:lvl>
    <w:lvl w:ilvl="1">
      <w:start w:val="1"/>
      <w:numFmt w:val="decimal"/>
      <w:lvlText w:val="%1.%2"/>
      <w:lvlJc w:val="left"/>
      <w:pPr>
        <w:ind w:left="1800" w:hanging="360"/>
      </w:pPr>
      <w:rPr>
        <w:b w:val="0"/>
        <w:i w:val="0"/>
        <w:smallCaps w:val="0"/>
        <w:strike w:val="0"/>
        <w:color w:val="00000A"/>
        <w:sz w:val="22"/>
        <w:szCs w:val="22"/>
        <w:u w:val="none"/>
        <w:vertAlign w:val="baseline"/>
      </w:rPr>
    </w:lvl>
    <w:lvl w:ilvl="2">
      <w:start w:val="1"/>
      <w:numFmt w:val="decimal"/>
      <w:lvlText w:val="%1.%2.%3"/>
      <w:lvlJc w:val="left"/>
      <w:pPr>
        <w:ind w:left="3330" w:hanging="720"/>
      </w:pPr>
      <w:rPr>
        <w:b w:val="0"/>
        <w:i w:val="0"/>
        <w:smallCaps w:val="0"/>
        <w:strike w:val="0"/>
        <w:color w:val="00000A"/>
        <w:sz w:val="22"/>
        <w:szCs w:val="22"/>
        <w:u w:val="none"/>
        <w:vertAlign w:val="baseline"/>
      </w:rPr>
    </w:lvl>
    <w:lvl w:ilvl="3">
      <w:start w:val="1"/>
      <w:numFmt w:val="lowerLetter"/>
      <w:lvlText w:val="(%4)"/>
      <w:lvlJc w:val="left"/>
      <w:pPr>
        <w:ind w:left="3567" w:hanging="720"/>
      </w:pPr>
      <w:rPr>
        <w:b w:val="0"/>
        <w:i w:val="0"/>
        <w:smallCaps w:val="0"/>
        <w:strike w:val="0"/>
        <w:color w:val="00000A"/>
        <w:sz w:val="22"/>
        <w:szCs w:val="22"/>
        <w:u w:val="none"/>
        <w:vertAlign w:val="baseline"/>
      </w:rPr>
    </w:lvl>
    <w:lvl w:ilvl="4">
      <w:start w:val="1"/>
      <w:numFmt w:val="lowerRoman"/>
      <w:lvlText w:val="(%5)"/>
      <w:lvlJc w:val="left"/>
      <w:pPr>
        <w:ind w:left="2160" w:hanging="1080"/>
      </w:pPr>
      <w:rPr>
        <w:b w:val="0"/>
        <w:i w:val="0"/>
        <w:smallCaps w:val="0"/>
        <w:strike w:val="0"/>
        <w:color w:val="000000"/>
        <w:u w:val="none"/>
        <w:vertAlign w:val="baseline"/>
      </w:rPr>
    </w:lvl>
    <w:lvl w:ilvl="5">
      <w:start w:val="1"/>
      <w:numFmt w:val="upperLetter"/>
      <w:lvlText w:val="(%6)"/>
      <w:lvlJc w:val="left"/>
      <w:pPr>
        <w:ind w:left="2160" w:hanging="1080"/>
      </w:pPr>
      <w:rPr>
        <w:b w:val="0"/>
        <w:i w:val="0"/>
        <w:smallCaps w:val="0"/>
        <w:strike w:val="0"/>
        <w:color w:val="000000"/>
        <w:u w:val="none"/>
        <w:vertAlign w:val="baseline"/>
      </w:r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num w:numId="1">
    <w:abstractNumId w:val="2"/>
  </w:num>
  <w:num w:numId="2">
    <w:abstractNumId w:val="1"/>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4C"/>
    <w:rsid w:val="0086094C"/>
    <w:rsid w:val="00AC6DFC"/>
    <w:rsid w:val="00F12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BB5D2C"/>
  <w15:docId w15:val="{6AE332F3-0883-44DD-B828-16D54351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2FD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Standard">
    <w:name w:val="Standard"/>
    <w:pPr>
      <w:widowControl/>
      <w:spacing w:after="240"/>
      <w:jc w:val="both"/>
    </w:pPr>
    <w:rPr>
      <w:rFonts w:eastAsia="Times New Roman" w:cs="Arial"/>
    </w:rPr>
  </w:style>
  <w:style w:type="paragraph" w:customStyle="1" w:styleId="Heading">
    <w:name w:val="Heading"/>
    <w:basedOn w:val="Standard"/>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Standard"/>
    <w:pPr>
      <w:spacing w:after="140" w:line="288" w:lineRule="auto"/>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Header">
    <w:name w:val="header"/>
    <w:basedOn w:val="Standard"/>
    <w:pPr>
      <w:tabs>
        <w:tab w:val="center" w:pos="4513"/>
        <w:tab w:val="right" w:pos="9026"/>
      </w:tabs>
      <w:spacing w:after="0"/>
    </w:pPr>
  </w:style>
  <w:style w:type="paragraph" w:styleId="Footer">
    <w:name w:val="footer"/>
    <w:basedOn w:val="Standard"/>
    <w:uiPriority w:val="99"/>
    <w:pPr>
      <w:tabs>
        <w:tab w:val="center" w:pos="4513"/>
        <w:tab w:val="right" w:pos="9026"/>
      </w:tabs>
      <w:spacing w:after="0"/>
    </w:pPr>
  </w:style>
  <w:style w:type="paragraph" w:customStyle="1" w:styleId="MarginText">
    <w:name w:val="Margin Text"/>
    <w:basedOn w:val="Standard"/>
    <w:pPr>
      <w:keepNext/>
      <w:overflowPunct w:val="0"/>
      <w:spacing w:before="240" w:after="120"/>
      <w:ind w:left="142"/>
    </w:pPr>
    <w:rPr>
      <w:rFonts w:eastAsia="STZhongsong" w:cs="Times New Roman"/>
      <w:szCs w:val="18"/>
      <w:lang w:eastAsia="zh-CN"/>
    </w:rPr>
  </w:style>
  <w:style w:type="paragraph" w:customStyle="1" w:styleId="GPSL1CLAUSEHEADING">
    <w:name w:val="GPS L1 CLAUSE HEADING"/>
    <w:basedOn w:val="Standard"/>
    <w:next w:val="Standard"/>
    <w:pPr>
      <w:tabs>
        <w:tab w:val="left" w:pos="142"/>
      </w:tabs>
      <w:overflowPunct w:val="0"/>
      <w:spacing w:before="120"/>
      <w:outlineLvl w:val="1"/>
    </w:pPr>
    <w:rPr>
      <w:rFonts w:eastAsia="STZhongsong"/>
      <w:b/>
      <w:caps/>
      <w:lang w:eastAsia="zh-CN"/>
    </w:rPr>
  </w:style>
  <w:style w:type="paragraph" w:customStyle="1" w:styleId="GPSL3numberedclause">
    <w:name w:val="GPS L3 numbered clause"/>
    <w:basedOn w:val="Standard"/>
    <w:pPr>
      <w:tabs>
        <w:tab w:val="left" w:pos="3641"/>
      </w:tabs>
      <w:overflowPunct w:val="0"/>
      <w:spacing w:before="120" w:after="120"/>
      <w:ind w:left="1656"/>
    </w:pPr>
    <w:rPr>
      <w:lang w:eastAsia="zh-CN"/>
    </w:rPr>
  </w:style>
  <w:style w:type="paragraph" w:customStyle="1" w:styleId="GPSL4numberedclause">
    <w:name w:val="GPS L4 numbered clause"/>
    <w:basedOn w:val="GPSL3numberedclause"/>
    <w:pPr>
      <w:tabs>
        <w:tab w:val="clear" w:pos="3641"/>
      </w:tabs>
      <w:ind w:left="2592" w:hanging="936"/>
    </w:pPr>
  </w:style>
  <w:style w:type="paragraph" w:customStyle="1" w:styleId="GPSL5numberedclause">
    <w:name w:val="GPS L5 numbered clause"/>
    <w:basedOn w:val="GPSL4numberedclause"/>
    <w:pPr>
      <w:tabs>
        <w:tab w:val="left" w:pos="6238"/>
      </w:tabs>
      <w:ind w:left="3119" w:hanging="567"/>
    </w:pPr>
  </w:style>
  <w:style w:type="paragraph" w:customStyle="1" w:styleId="GPSL2NumberedBoldHeading">
    <w:name w:val="GPS L2 Numbered Bold Heading"/>
    <w:basedOn w:val="Standard"/>
    <w:pPr>
      <w:tabs>
        <w:tab w:val="left" w:pos="3054"/>
      </w:tabs>
      <w:overflowPunct w:val="0"/>
      <w:spacing w:before="120" w:after="120"/>
      <w:ind w:left="1920"/>
    </w:pPr>
    <w:rPr>
      <w:b/>
      <w:lang w:eastAsia="zh-CN"/>
    </w:rPr>
  </w:style>
  <w:style w:type="paragraph" w:customStyle="1" w:styleId="GPSL6numbered">
    <w:name w:val="GPS L6 numbered"/>
    <w:basedOn w:val="GPSL5numberedclause"/>
    <w:pPr>
      <w:tabs>
        <w:tab w:val="clear" w:pos="6238"/>
        <w:tab w:val="left" w:pos="4046"/>
        <w:tab w:val="left" w:pos="7372"/>
      </w:tabs>
      <w:ind w:left="3686"/>
    </w:pPr>
  </w:style>
  <w:style w:type="paragraph" w:customStyle="1" w:styleId="GPSL1Guidance">
    <w:name w:val="GPS L1 Guidance"/>
    <w:basedOn w:val="Standard"/>
    <w:pPr>
      <w:spacing w:before="240" w:after="120"/>
      <w:ind w:left="426"/>
    </w:pPr>
    <w:rPr>
      <w:b/>
      <w:i/>
    </w:rPr>
  </w:style>
  <w:style w:type="paragraph" w:customStyle="1" w:styleId="GPSL1SCHEDULEHeading">
    <w:name w:val="GPS L1 SCHEDULE Heading"/>
    <w:basedOn w:val="GPSL1CLAUSEHEADING"/>
    <w:pPr>
      <w:tabs>
        <w:tab w:val="clear" w:pos="142"/>
      </w:tabs>
    </w:pPr>
  </w:style>
  <w:style w:type="paragraph" w:customStyle="1" w:styleId="GPSmacrorestart">
    <w:name w:val="GPS macro restart"/>
    <w:basedOn w:val="Standard"/>
    <w:qFormat/>
    <w:pPr>
      <w:spacing w:after="0"/>
    </w:pPr>
    <w:rPr>
      <w:color w:val="FFFFFF"/>
      <w:sz w:val="16"/>
      <w:szCs w:val="16"/>
    </w:rPr>
  </w:style>
  <w:style w:type="paragraph" w:customStyle="1" w:styleId="GPSSchTitleandNumber">
    <w:name w:val="GPS Sch Title and Number"/>
    <w:basedOn w:val="Standard"/>
    <w:pPr>
      <w:keepNext/>
      <w:overflowPunct w:val="0"/>
      <w:ind w:firstLine="426"/>
      <w:jc w:val="center"/>
      <w:outlineLvl w:val="0"/>
    </w:pPr>
    <w:rPr>
      <w:rFonts w:ascii="Arial Bold" w:eastAsia="STZhongsong" w:hAnsi="Arial Bold" w:cs="Times New Roman"/>
      <w:b/>
      <w:caps/>
      <w:lang w:eastAsia="zh-CN"/>
    </w:rPr>
  </w:style>
  <w:style w:type="paragraph" w:customStyle="1" w:styleId="GPSSchPart">
    <w:name w:val="GPS Sch Part"/>
    <w:basedOn w:val="Standard"/>
    <w:qFormat/>
    <w:pPr>
      <w:keepNext/>
      <w:overflowPunct w:val="0"/>
      <w:spacing w:before="240"/>
      <w:ind w:firstLine="426"/>
      <w:jc w:val="center"/>
    </w:pPr>
    <w:rPr>
      <w:rFonts w:ascii="Arial Bold" w:eastAsia="STZhongsong" w:hAnsi="Arial Bold" w:cs="Times New Roman"/>
      <w:b/>
      <w:caps/>
      <w:lang w:eastAsia="zh-CN"/>
    </w:rPr>
  </w:style>
  <w:style w:type="paragraph" w:customStyle="1" w:styleId="GPSL2Numbered">
    <w:name w:val="GPS L2 Numbered"/>
    <w:basedOn w:val="GPSL2NumberedBoldHeading"/>
    <w:pPr>
      <w:tabs>
        <w:tab w:val="clear" w:pos="3054"/>
      </w:tabs>
      <w:ind w:left="936" w:hanging="576"/>
    </w:pPr>
    <w:rPr>
      <w:b w:val="0"/>
    </w:rPr>
  </w:style>
  <w:style w:type="paragraph" w:customStyle="1" w:styleId="GPSL1Schedulenumbered">
    <w:name w:val="GPS L1 Schedule numbered"/>
    <w:basedOn w:val="Standard"/>
    <w:qFormat/>
    <w:pPr>
      <w:tabs>
        <w:tab w:val="left" w:pos="851"/>
      </w:tabs>
    </w:pPr>
  </w:style>
  <w:style w:type="paragraph" w:styleId="BalloonText">
    <w:name w:val="Balloon Text"/>
    <w:basedOn w:val="Standard"/>
    <w:pPr>
      <w:spacing w:after="0"/>
    </w:pPr>
    <w:rPr>
      <w:rFonts w:ascii="Tahoma" w:eastAsia="Tahoma" w:hAnsi="Tahoma" w:cs="Tahoma"/>
      <w:sz w:val="16"/>
      <w:szCs w:val="16"/>
    </w:rPr>
  </w:style>
  <w:style w:type="paragraph" w:customStyle="1" w:styleId="GPSL2Guidance">
    <w:name w:val="GPS L2 Guidance"/>
    <w:basedOn w:val="Standard"/>
    <w:pPr>
      <w:tabs>
        <w:tab w:val="left" w:pos="2268"/>
      </w:tabs>
      <w:overflowPunct w:val="0"/>
      <w:spacing w:before="120" w:after="120"/>
      <w:ind w:left="1134"/>
    </w:pPr>
    <w:rPr>
      <w:b/>
      <w:i/>
      <w:lang w:eastAsia="zh-CN"/>
    </w:rPr>
  </w:style>
  <w:style w:type="paragraph" w:customStyle="1" w:styleId="GPSL2Indent">
    <w:name w:val="GPS L2 Indent"/>
    <w:basedOn w:val="Standard"/>
    <w:pPr>
      <w:tabs>
        <w:tab w:val="left" w:pos="4536"/>
      </w:tabs>
      <w:spacing w:after="220"/>
      <w:ind w:left="1134"/>
    </w:pPr>
    <w:rPr>
      <w:szCs w:val="24"/>
    </w:rPr>
  </w:style>
  <w:style w:type="paragraph" w:customStyle="1" w:styleId="GPSL4Guidance">
    <w:name w:val="GPS L4 Guidance"/>
    <w:basedOn w:val="Standard"/>
    <w:pPr>
      <w:tabs>
        <w:tab w:val="left" w:pos="3970"/>
      </w:tabs>
      <w:overflowPunct w:val="0"/>
      <w:spacing w:before="120" w:after="120"/>
      <w:ind w:left="1985"/>
    </w:pPr>
    <w:rPr>
      <w:b/>
      <w:i/>
      <w:lang w:eastAsia="zh-CN"/>
    </w:rPr>
  </w:style>
  <w:style w:type="paragraph" w:customStyle="1" w:styleId="GPSL2non-numberboldheading">
    <w:name w:val="GPS L2 non-number bold heading"/>
    <w:basedOn w:val="GPSL2NumberedBoldHeading"/>
    <w:pPr>
      <w:ind w:left="1134"/>
    </w:pPr>
  </w:style>
  <w:style w:type="paragraph" w:styleId="CommentText">
    <w:name w:val="annotation text"/>
    <w:basedOn w:val="Standard"/>
    <w:rPr>
      <w:sz w:val="20"/>
      <w:szCs w:val="20"/>
    </w:rPr>
  </w:style>
  <w:style w:type="paragraph" w:styleId="CommentSubject">
    <w:name w:val="annotation subject"/>
    <w:basedOn w:val="CommentText"/>
    <w:rPr>
      <w:b/>
      <w:bCs/>
    </w:rPr>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styleId="Emphasis">
    <w:name w:val="Emphasis"/>
    <w:basedOn w:val="DefaultParagraphFont"/>
    <w:rPr>
      <w:i/>
      <w:iCs/>
    </w:rPr>
  </w:style>
  <w:style w:type="character" w:customStyle="1" w:styleId="MarginTextChar">
    <w:name w:val="Margin Text Char"/>
    <w:rPr>
      <w:rFonts w:ascii="Calibri" w:eastAsia="STZhongsong" w:hAnsi="Calibri" w:cs="Times New Roman"/>
      <w:szCs w:val="18"/>
      <w:lang w:eastAsia="zh-CN"/>
    </w:rPr>
  </w:style>
  <w:style w:type="character" w:customStyle="1" w:styleId="GPSL2NumberedChar">
    <w:name w:val="GPS L2 Numbered Char"/>
    <w:rPr>
      <w:rFonts w:ascii="Calibri" w:eastAsia="Times New Roman" w:hAnsi="Calibri" w:cs="Arial"/>
      <w:lang w:eastAsia="zh-CN"/>
    </w:rPr>
  </w:style>
  <w:style w:type="character" w:customStyle="1" w:styleId="GPSL1SCHEDULEHeadingChar">
    <w:name w:val="GPS L1 SCHEDULE Heading Char"/>
    <w:rPr>
      <w:rFonts w:ascii="Calibri" w:eastAsia="STZhongsong" w:hAnsi="Calibri" w:cs="Arial"/>
      <w:b/>
      <w:caps/>
      <w:lang w:eastAsia="zh-CN"/>
    </w:rPr>
  </w:style>
  <w:style w:type="character" w:customStyle="1" w:styleId="GPSL1SchedulenumberedChar1">
    <w:name w:val="GPS L1 Schedule numbered Char1"/>
    <w:rPr>
      <w:rFonts w:ascii="Calibri" w:eastAsia="Times New Roman" w:hAnsi="Calibri" w:cs="Arial"/>
    </w:rPr>
  </w:style>
  <w:style w:type="character" w:customStyle="1" w:styleId="GPSL1GuidanceChar">
    <w:name w:val="GPS L1 Guidance Char"/>
    <w:rPr>
      <w:rFonts w:ascii="Calibri" w:eastAsia="Times New Roman" w:hAnsi="Calibri" w:cs="Arial"/>
      <w:b/>
      <w:i/>
    </w:rPr>
  </w:style>
  <w:style w:type="character" w:customStyle="1" w:styleId="GPSSchTitleandNumberChar">
    <w:name w:val="GPS Sch Title and Number Char"/>
    <w:rPr>
      <w:rFonts w:ascii="Arial Bold" w:eastAsia="STZhongsong" w:hAnsi="Arial Bold" w:cs="Times New Roman"/>
      <w:b/>
      <w:caps/>
      <w:lang w:eastAsia="zh-CN"/>
    </w:rPr>
  </w:style>
  <w:style w:type="character" w:customStyle="1" w:styleId="GPSSchPartChar">
    <w:name w:val="GPS Sch Part Char"/>
    <w:rPr>
      <w:rFonts w:ascii="Arial Bold" w:eastAsia="STZhongsong" w:hAnsi="Arial Bold" w:cs="Times New Roman"/>
      <w:b/>
      <w:caps/>
      <w:lang w:eastAsia="zh-CN"/>
    </w:rPr>
  </w:style>
  <w:style w:type="character" w:customStyle="1" w:styleId="BalloonTextChar">
    <w:name w:val="Balloon Text Char"/>
    <w:basedOn w:val="DefaultParagraphFont"/>
    <w:rPr>
      <w:rFonts w:ascii="Tahoma" w:eastAsia="Times New Roman" w:hAnsi="Tahoma" w:cs="Tahoma"/>
      <w:sz w:val="16"/>
      <w:szCs w:val="16"/>
    </w:rPr>
  </w:style>
  <w:style w:type="character" w:customStyle="1" w:styleId="GPSL4numberedclauseChar">
    <w:name w:val="GPS L4 numbered clause Char"/>
    <w:rPr>
      <w:rFonts w:ascii="Calibri" w:eastAsia="Times New Roman" w:hAnsi="Calibri" w:cs="Arial"/>
      <w:lang w:eastAsia="zh-CN"/>
    </w:rPr>
  </w:style>
  <w:style w:type="character" w:customStyle="1" w:styleId="GPSL3numberedclauseChar">
    <w:name w:val="GPS L3 numbered clause Char"/>
    <w:rPr>
      <w:rFonts w:ascii="Calibri" w:eastAsia="Times New Roman" w:hAnsi="Calibri" w:cs="Arial"/>
      <w:lang w:eastAsia="zh-CN"/>
    </w:rPr>
  </w:style>
  <w:style w:type="character" w:customStyle="1" w:styleId="GPSL5numberedclauseChar">
    <w:name w:val="GPS L5 numbered clause Char"/>
    <w:rPr>
      <w:rFonts w:ascii="Calibri" w:eastAsia="Times New Roman" w:hAnsi="Calibri" w:cs="Arial"/>
      <w:lang w:eastAsia="zh-CN"/>
    </w:rPr>
  </w:style>
  <w:style w:type="character" w:customStyle="1" w:styleId="GPSL4GuidanceChar">
    <w:name w:val="GPS L4 Guidance Char"/>
    <w:rPr>
      <w:rFonts w:ascii="Calibri" w:eastAsia="Times New Roman" w:hAnsi="Calibri" w:cs="Arial"/>
      <w:b/>
      <w:i/>
      <w:lang w:eastAsia="zh-CN"/>
    </w:rPr>
  </w:style>
  <w:style w:type="character" w:customStyle="1" w:styleId="GPSL2non-numberboldheadingChar">
    <w:name w:val="GPS L2 non-number bold heading Char"/>
    <w:rPr>
      <w:rFonts w:ascii="Calibri" w:eastAsia="Times New Roman" w:hAnsi="Calibri" w:cs="Arial"/>
      <w:b/>
      <w:lang w:eastAsia="zh-CN"/>
    </w:rPr>
  </w:style>
  <w:style w:type="character" w:customStyle="1" w:styleId="GPSL2IndentChar">
    <w:name w:val="GPS L2 Indent Char"/>
    <w:rPr>
      <w:rFonts w:ascii="Calibri" w:eastAsia="Times New Roman" w:hAnsi="Calibri" w:cs="Arial"/>
      <w:szCs w:val="24"/>
    </w:rPr>
  </w:style>
  <w:style w:type="character" w:customStyle="1" w:styleId="GPSL2GuidanceChar">
    <w:name w:val="GPS L2 Guidance Char"/>
    <w:rPr>
      <w:rFonts w:ascii="Calibri" w:eastAsia="Times New Roman" w:hAnsi="Calibri" w:cs="Arial"/>
      <w:b/>
      <w:i/>
      <w:lang w:eastAsia="zh-CN"/>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Calibri" w:eastAsia="Times New Roman" w:hAnsi="Calibri" w:cs="Arial"/>
      <w:sz w:val="20"/>
      <w:szCs w:val="20"/>
    </w:rPr>
  </w:style>
  <w:style w:type="character" w:customStyle="1" w:styleId="CommentSubjectChar">
    <w:name w:val="Comment Subject Char"/>
    <w:basedOn w:val="CommentTextChar"/>
    <w:rPr>
      <w:rFonts w:ascii="Calibri" w:eastAsia="Times New Roman" w:hAnsi="Calibri" w:cs="Arial"/>
      <w:b/>
      <w:bCs/>
      <w:sz w:val="20"/>
      <w:szCs w:val="20"/>
    </w:rPr>
  </w:style>
  <w:style w:type="character" w:customStyle="1" w:styleId="ListLabel1">
    <w:name w:val="ListLabel 1"/>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
    <w:name w:val="ListLabel 3"/>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
    <w:name w:val="ListLabel 6"/>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9">
    <w:name w:val="ListLabel 29"/>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0">
    <w:name w:val="ListLabel 30"/>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1">
    <w:name w:val="ListLabel 31"/>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2">
    <w:name w:val="ListLabel 32"/>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3">
    <w:name w:val="ListLabel 33"/>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8">
    <w:name w:val="ListLabel 38"/>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9">
    <w:name w:val="ListLabel 39"/>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0">
    <w:name w:val="ListLabel 40"/>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1">
    <w:name w:val="ListLabel 41"/>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2">
    <w:name w:val="ListLabel 42"/>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7">
    <w:name w:val="ListLabel 47"/>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8">
    <w:name w:val="ListLabel 48"/>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9">
    <w:name w:val="ListLabel 49"/>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0">
    <w:name w:val="ListLabel 50"/>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1">
    <w:name w:val="ListLabel 51"/>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6">
    <w:name w:val="ListLabel 56"/>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7">
    <w:name w:val="ListLabel 57"/>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8">
    <w:name w:val="ListLabel 58"/>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9">
    <w:name w:val="ListLabel 59"/>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0">
    <w:name w:val="ListLabel 60"/>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cs="Courier New"/>
      <w:b w:val="0"/>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cs="Courier New"/>
    </w:rPr>
  </w:style>
  <w:style w:type="character" w:customStyle="1" w:styleId="ListLabel72">
    <w:name w:val="ListLabel 72"/>
    <w:rPr>
      <w:rFonts w:cs="Courier New"/>
    </w:rPr>
  </w:style>
  <w:style w:type="character" w:customStyle="1" w:styleId="ListLabel73">
    <w:name w:val="ListLabel 73"/>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4">
    <w:name w:val="ListLabel 74"/>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5">
    <w:name w:val="ListLabel 75"/>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6">
    <w:name w:val="ListLabel 76"/>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7">
    <w:name w:val="ListLabel 77"/>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8">
    <w:name w:val="ListLabel 78"/>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cs="Times New Roman"/>
    </w:rPr>
  </w:style>
  <w:style w:type="character" w:customStyle="1" w:styleId="ListLabel82">
    <w:name w:val="ListLabel 82"/>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3">
    <w:name w:val="ListLabel 83"/>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4">
    <w:name w:val="ListLabel 84"/>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5">
    <w:name w:val="ListLabel 85"/>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6">
    <w:name w:val="ListLabel 86"/>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7">
    <w:name w:val="ListLabel 87"/>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numbering" w:customStyle="1" w:styleId="NoList1">
    <w:name w:val="No List_1"/>
    <w:basedOn w:val="NoList"/>
  </w:style>
  <w:style w:type="numbering" w:customStyle="1" w:styleId="WWNum1">
    <w:name w:val="WWNum1"/>
    <w:basedOn w:val="NoList"/>
  </w:style>
  <w:style w:type="numbering" w:customStyle="1" w:styleId="WWNum2">
    <w:name w:val="WWNum2"/>
    <w:basedOn w:val="NoList"/>
  </w:style>
  <w:style w:type="numbering" w:customStyle="1" w:styleId="WWNum3">
    <w:name w:val="WWNum3"/>
    <w:basedOn w:val="NoList"/>
  </w:style>
  <w:style w:type="numbering" w:customStyle="1" w:styleId="WWNum4">
    <w:name w:val="WWNum4"/>
    <w:basedOn w:val="NoList"/>
  </w:style>
  <w:style w:type="numbering" w:customStyle="1" w:styleId="WWNum5">
    <w:name w:val="WWNum5"/>
    <w:basedOn w:val="NoList"/>
  </w:style>
  <w:style w:type="numbering" w:customStyle="1" w:styleId="WWNum6">
    <w:name w:val="WWNum6"/>
    <w:basedOn w:val="NoList"/>
  </w:style>
  <w:style w:type="numbering" w:customStyle="1" w:styleId="WWNum7">
    <w:name w:val="WWNum7"/>
    <w:basedOn w:val="NoList"/>
  </w:style>
  <w:style w:type="numbering" w:customStyle="1" w:styleId="WWNum8">
    <w:name w:val="WWNum8"/>
    <w:basedOn w:val="NoList"/>
  </w:style>
  <w:style w:type="numbering" w:customStyle="1" w:styleId="WWNum9">
    <w:name w:val="WWNum9"/>
    <w:basedOn w:val="NoList"/>
  </w:style>
  <w:style w:type="numbering" w:customStyle="1" w:styleId="WWNum10">
    <w:name w:val="WWNum10"/>
    <w:basedOn w:val="NoList"/>
  </w:style>
  <w:style w:type="numbering" w:customStyle="1" w:styleId="WWNum11">
    <w:name w:val="WWNum11"/>
    <w:basedOn w:val="NoList"/>
  </w:style>
  <w:style w:type="numbering" w:customStyle="1" w:styleId="WWNum12">
    <w:name w:val="WWNum12"/>
    <w:basedOn w:val="NoList"/>
  </w:style>
  <w:style w:type="numbering" w:customStyle="1" w:styleId="WWNum13">
    <w:name w:val="WWNum13"/>
    <w:basedOn w:val="NoList"/>
  </w:style>
  <w:style w:type="table" w:styleId="TableGrid">
    <w:name w:val="Table Grid"/>
    <w:basedOn w:val="TableNormal"/>
    <w:uiPriority w:val="39"/>
    <w:rsid w:val="007A5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MainHeading">
    <w:name w:val="FA: Main Heading"/>
    <w:basedOn w:val="Heading1"/>
    <w:qFormat/>
    <w:rsid w:val="00532FDD"/>
    <w:pPr>
      <w:numPr>
        <w:numId w:val="5"/>
      </w:numPr>
      <w:tabs>
        <w:tab w:val="num" w:pos="360"/>
      </w:tabs>
      <w:spacing w:before="20" w:after="20"/>
      <w:ind w:left="0" w:firstLine="0"/>
    </w:pPr>
    <w:rPr>
      <w:rFonts w:ascii="Arial" w:eastAsia="Calibri" w:hAnsi="Arial" w:cs="Arial"/>
      <w:b/>
      <w:color w:val="auto"/>
      <w:sz w:val="22"/>
      <w:szCs w:val="36"/>
    </w:rPr>
  </w:style>
  <w:style w:type="paragraph" w:customStyle="1" w:styleId="FALevel1">
    <w:name w:val="FA: Level 1"/>
    <w:basedOn w:val="Normal"/>
    <w:link w:val="FALevel1Char"/>
    <w:qFormat/>
    <w:rsid w:val="00532FDD"/>
    <w:pPr>
      <w:widowControl/>
      <w:numPr>
        <w:ilvl w:val="1"/>
        <w:numId w:val="5"/>
      </w:numPr>
      <w:spacing w:before="120" w:after="280" w:line="259" w:lineRule="auto"/>
    </w:pPr>
    <w:rPr>
      <w:rFonts w:ascii="Arial" w:eastAsiaTheme="minorHAnsi" w:hAnsi="Arial" w:cs="Arial"/>
    </w:rPr>
  </w:style>
  <w:style w:type="character" w:customStyle="1" w:styleId="FALevel1Char">
    <w:name w:val="FA: Level 1 Char"/>
    <w:basedOn w:val="DefaultParagraphFont"/>
    <w:link w:val="FALevel1"/>
    <w:rsid w:val="00532FDD"/>
    <w:rPr>
      <w:rFonts w:ascii="Arial" w:eastAsiaTheme="minorHAnsi" w:hAnsi="Arial" w:cs="Arial"/>
    </w:rPr>
  </w:style>
  <w:style w:type="paragraph" w:customStyle="1" w:styleId="FALevel2">
    <w:name w:val="FA: Level 2"/>
    <w:basedOn w:val="Normal"/>
    <w:link w:val="FALevel2Char"/>
    <w:qFormat/>
    <w:rsid w:val="00532FDD"/>
    <w:pPr>
      <w:widowControl/>
      <w:numPr>
        <w:ilvl w:val="2"/>
        <w:numId w:val="5"/>
      </w:numPr>
      <w:spacing w:before="120" w:after="280" w:line="259" w:lineRule="auto"/>
    </w:pPr>
    <w:rPr>
      <w:rFonts w:ascii="Arial" w:eastAsiaTheme="minorHAnsi" w:hAnsi="Arial" w:cs="Arial"/>
    </w:rPr>
  </w:style>
  <w:style w:type="character" w:customStyle="1" w:styleId="FALevel2Char">
    <w:name w:val="FA: Level 2 Char"/>
    <w:basedOn w:val="DefaultParagraphFont"/>
    <w:link w:val="FALevel2"/>
    <w:rsid w:val="00532FDD"/>
    <w:rPr>
      <w:rFonts w:ascii="Arial" w:eastAsiaTheme="minorHAnsi" w:hAnsi="Arial" w:cs="Arial"/>
    </w:rPr>
  </w:style>
  <w:style w:type="character" w:customStyle="1" w:styleId="Heading1Char">
    <w:name w:val="Heading 1 Char"/>
    <w:basedOn w:val="DefaultParagraphFont"/>
    <w:link w:val="Heading1"/>
    <w:uiPriority w:val="9"/>
    <w:rsid w:val="00532FDD"/>
    <w:rPr>
      <w:rFonts w:asciiTheme="majorHAnsi" w:eastAsiaTheme="majorEastAsia" w:hAnsiTheme="majorHAnsi" w:cstheme="majorBidi"/>
      <w:color w:val="2F5496" w:themeColor="accent1" w:themeShade="BF"/>
      <w:sz w:val="32"/>
      <w:szCs w:val="32"/>
    </w:rPr>
  </w:style>
  <w:style w:type="paragraph" w:customStyle="1" w:styleId="FABulletPoints">
    <w:name w:val="FA: Bullet Points"/>
    <w:basedOn w:val="Normal"/>
    <w:link w:val="FABulletPointsChar"/>
    <w:qFormat/>
    <w:rsid w:val="00532FDD"/>
    <w:pPr>
      <w:widowControl/>
      <w:tabs>
        <w:tab w:val="num" w:pos="720"/>
      </w:tabs>
      <w:ind w:left="720" w:hanging="720"/>
    </w:pPr>
    <w:rPr>
      <w:rFonts w:ascii="Arial" w:eastAsiaTheme="minorHAnsi" w:hAnsi="Arial" w:cs="Arial"/>
    </w:rPr>
  </w:style>
  <w:style w:type="character" w:customStyle="1" w:styleId="FABulletPointsChar">
    <w:name w:val="FA: Bullet Points Char"/>
    <w:basedOn w:val="DefaultParagraphFont"/>
    <w:link w:val="FABulletPoints"/>
    <w:rsid w:val="00532FDD"/>
    <w:rPr>
      <w:rFonts w:ascii="Arial" w:eastAsiaTheme="minorHAnsi" w:hAnsi="Arial" w:cs="Arial"/>
    </w:rPr>
  </w:style>
  <w:style w:type="paragraph" w:styleId="Revision">
    <w:name w:val="Revision"/>
    <w:hidden/>
    <w:uiPriority w:val="99"/>
    <w:semiHidden/>
    <w:rsid w:val="00CE0EDB"/>
    <w:pPr>
      <w:widowControl/>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ua7YoulB3aiFYL5AkCV0Ww2NYA==">AMUW2mVmz4AgukbP2sS3TXD1s8YSiX3IxQa0qgmfFci7mf4DxaE3x01xhJfglm7ABkU7+VZH7DUQBh6JRVaQ+OSJU1JXrpWro/6jlmkFTqcLUrKVtPj5cXKQNu55D/iZ/3b4lWjuV04an2XjgddqF4d5JnHVKvyZ4xwQ4YoxR9GXRcDwqMdTRnQPgZU/Jtywzru0QCT08ot9lWPEwDoe/s10JKQ4zhYlR7hijMHBKa+syJ4wPj2X/PS3ar/Q/edS0K9xJtnM0UQpUqL3wnw8cAcsUYr7z1UwWU5xMhkTShe7PhkfmvE7m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2327</Words>
  <Characters>13265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Samantha Brown</cp:lastModifiedBy>
  <cp:revision>2</cp:revision>
  <dcterms:created xsi:type="dcterms:W3CDTF">2021-12-21T16:09:00Z</dcterms:created>
  <dcterms:modified xsi:type="dcterms:W3CDTF">2021-12-21T16:09:00Z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CurrentVersion">
    <vt:lpwstr>15 November 2017 D1V4</vt:lpwstr>
  </property>
</Properties>
</file>