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B78" w:rsidRDefault="001149DD">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r>
        <w:rPr>
          <w:rFonts w:ascii="Arial" w:eastAsia="Arial" w:hAnsi="Arial" w:cs="Arial"/>
          <w:b/>
          <w:color w:val="000000"/>
          <w:sz w:val="36"/>
          <w:szCs w:val="36"/>
        </w:rPr>
        <w:t>Joint Schedule 11 (Processing Data)</w:t>
      </w:r>
    </w:p>
    <w:p w:rsidR="00EA7B78" w:rsidRDefault="00EA7B78">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36"/>
          <w:szCs w:val="36"/>
        </w:rPr>
      </w:pPr>
    </w:p>
    <w:p w:rsidR="00EA7B78" w:rsidRDefault="001149D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Definitions</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b/>
          <w:sz w:val="24"/>
          <w:szCs w:val="24"/>
        </w:rPr>
      </w:pPr>
      <w:r>
        <w:rPr>
          <w:rFonts w:ascii="Arial" w:eastAsia="Arial" w:hAnsi="Arial" w:cs="Arial"/>
          <w:sz w:val="24"/>
          <w:szCs w:val="24"/>
        </w:rPr>
        <w:t>In this Schedule, the following words shall have the following meanings and they shall supplement Joint Schedule 1 (Definitions):</w:t>
      </w:r>
    </w:p>
    <w:tbl>
      <w:tblPr>
        <w:tblStyle w:val="a1"/>
        <w:tblW w:w="9016" w:type="dxa"/>
        <w:tblBorders>
          <w:top w:val="nil"/>
          <w:left w:val="nil"/>
          <w:bottom w:val="nil"/>
          <w:right w:val="nil"/>
          <w:insideH w:val="nil"/>
          <w:insideV w:val="nil"/>
        </w:tblBorders>
        <w:tblLayout w:type="fixed"/>
        <w:tblLook w:val="0400" w:firstRow="0" w:lastRow="0" w:firstColumn="0" w:lastColumn="0" w:noHBand="0" w:noVBand="1"/>
      </w:tblPr>
      <w:tblGrid>
        <w:gridCol w:w="2263"/>
        <w:gridCol w:w="6753"/>
      </w:tblGrid>
      <w:tr w:rsidR="00EA7B78">
        <w:tc>
          <w:tcPr>
            <w:tcW w:w="2263" w:type="dxa"/>
          </w:tcPr>
          <w:p w:rsidR="00EA7B78" w:rsidRDefault="001149DD">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b/>
                <w:sz w:val="24"/>
                <w:szCs w:val="24"/>
              </w:rPr>
              <w:t>“Processor Personnel”</w:t>
            </w:r>
          </w:p>
        </w:tc>
        <w:tc>
          <w:tcPr>
            <w:tcW w:w="6753" w:type="dxa"/>
          </w:tcPr>
          <w:p w:rsidR="00EA7B78" w:rsidRDefault="001149DD">
            <w:pPr>
              <w:keepNext/>
              <w:pBdr>
                <w:top w:val="nil"/>
                <w:left w:val="nil"/>
                <w:bottom w:val="nil"/>
                <w:right w:val="nil"/>
                <w:between w:val="nil"/>
              </w:pBdr>
              <w:spacing w:after="220"/>
              <w:jc w:val="both"/>
              <w:rPr>
                <w:rFonts w:ascii="Arial" w:eastAsia="Arial" w:hAnsi="Arial" w:cs="Arial"/>
                <w:b/>
                <w:sz w:val="24"/>
                <w:szCs w:val="24"/>
              </w:rPr>
            </w:pPr>
            <w:r>
              <w:rPr>
                <w:rFonts w:ascii="Arial" w:eastAsia="Arial" w:hAnsi="Arial" w:cs="Arial"/>
                <w:sz w:val="24"/>
                <w:szCs w:val="24"/>
              </w:rPr>
              <w:t>all directors, officers, employees, agents, consultants and suppliers of the Processor and/or of any Subprocessor engaged in the performance of its obligations under a Contract;</w:t>
            </w:r>
          </w:p>
        </w:tc>
      </w:tr>
    </w:tbl>
    <w:p w:rsidR="00EA7B78" w:rsidRDefault="001149D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Status of the Controller</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acknowledge that for the purposes of the Data Protection Legislation, the nature of the activity carried out by each of them in relation to their respective obligations under a Contract dictates the status of each party under the DPA 2018. A Pa</w:t>
      </w:r>
      <w:r>
        <w:rPr>
          <w:rFonts w:ascii="Arial" w:eastAsia="Arial" w:hAnsi="Arial" w:cs="Arial"/>
          <w:sz w:val="24"/>
          <w:szCs w:val="24"/>
        </w:rPr>
        <w:t>rty may act as:</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“Controller” in respect of the other Party who is “Processor”;</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“Processor” in respect of the other Party who is “Controller”;</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“Joint Controller” with the other Party; </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“Independent Controller” of the Personal Data where the other Party is a</w:t>
      </w:r>
      <w:r>
        <w:rPr>
          <w:rFonts w:ascii="Arial" w:eastAsia="Arial" w:hAnsi="Arial" w:cs="Arial"/>
          <w:sz w:val="24"/>
          <w:szCs w:val="24"/>
        </w:rPr>
        <w:t>lso “Controller”,</w:t>
      </w:r>
    </w:p>
    <w:p w:rsidR="00EA7B78" w:rsidRDefault="001149DD">
      <w:pPr>
        <w:pBdr>
          <w:top w:val="nil"/>
          <w:left w:val="nil"/>
          <w:bottom w:val="nil"/>
          <w:right w:val="nil"/>
          <w:between w:val="nil"/>
        </w:pBdr>
        <w:spacing w:before="280" w:after="120"/>
        <w:ind w:left="809"/>
        <w:rPr>
          <w:rFonts w:ascii="Arial" w:eastAsia="Arial" w:hAnsi="Arial" w:cs="Arial"/>
          <w:sz w:val="24"/>
          <w:szCs w:val="24"/>
        </w:rPr>
      </w:pPr>
      <w:r>
        <w:rPr>
          <w:rFonts w:ascii="Arial" w:eastAsia="Arial" w:hAnsi="Arial" w:cs="Arial"/>
          <w:sz w:val="24"/>
          <w:szCs w:val="24"/>
        </w:rPr>
        <w:t xml:space="preserve">in respect of certain Personal Data under a Contract and shall specify in Annex 1 </w:t>
      </w:r>
      <w:r>
        <w:rPr>
          <w:rFonts w:ascii="Arial" w:eastAsia="Arial" w:hAnsi="Arial" w:cs="Arial"/>
          <w:i/>
          <w:sz w:val="24"/>
          <w:szCs w:val="24"/>
        </w:rPr>
        <w:t>(Processing Personal Data)</w:t>
      </w:r>
      <w:r>
        <w:rPr>
          <w:rFonts w:ascii="Arial" w:eastAsia="Arial" w:hAnsi="Arial" w:cs="Arial"/>
          <w:sz w:val="24"/>
          <w:szCs w:val="24"/>
        </w:rPr>
        <w:t xml:space="preserve"> which scenario they think shall apply in each situation. </w:t>
      </w:r>
    </w:p>
    <w:p w:rsidR="00EA7B78" w:rsidRDefault="001149D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one Party is Controller and the other Party its Processor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Where a Party is a Processor, the only Processing that it is authorised to do is listed in Annex 1 </w:t>
      </w:r>
      <w:r>
        <w:rPr>
          <w:rFonts w:ascii="Arial" w:eastAsia="Arial" w:hAnsi="Arial" w:cs="Arial"/>
          <w:i/>
          <w:sz w:val="24"/>
          <w:szCs w:val="24"/>
        </w:rPr>
        <w:t>(Processing Personal Data</w:t>
      </w:r>
      <w:r>
        <w:rPr>
          <w:rFonts w:ascii="Arial" w:eastAsia="Arial" w:hAnsi="Arial" w:cs="Arial"/>
          <w:sz w:val="24"/>
          <w:szCs w:val="24"/>
        </w:rPr>
        <w:t xml:space="preserve">) by the Controller.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notify the Controller immediately if it considers that any of the Controller’s instructions infringe the Data Protection Legislation.</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provide all reasonable assistance to the Controller in the preparation of any Data</w:t>
      </w:r>
      <w:r>
        <w:rPr>
          <w:rFonts w:ascii="Arial" w:eastAsia="Arial" w:hAnsi="Arial" w:cs="Arial"/>
          <w:sz w:val="24"/>
          <w:szCs w:val="24"/>
        </w:rPr>
        <w:t xml:space="preserve"> Protection Impact Assessment prior to commencing any Processing.  Such assistance may, at the discretion of the Controller, include:</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 systematic description of the envisaged Processing and the purpose of the Processing;</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an assessment of the necessity and</w:t>
      </w:r>
      <w:r>
        <w:rPr>
          <w:rFonts w:ascii="Arial" w:eastAsia="Arial" w:hAnsi="Arial" w:cs="Arial"/>
          <w:sz w:val="24"/>
          <w:szCs w:val="24"/>
        </w:rPr>
        <w:t xml:space="preserve"> proportionality of the Processing in relation to the Deliverables;</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an assessment of the risks to the rights and freedoms of Data Subjects; and</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measures envisaged to address the risks, including safeguards, security measures and mechanisms to ensure th</w:t>
      </w:r>
      <w:r>
        <w:rPr>
          <w:rFonts w:ascii="Arial" w:eastAsia="Arial" w:hAnsi="Arial" w:cs="Arial"/>
          <w:sz w:val="24"/>
          <w:szCs w:val="24"/>
        </w:rPr>
        <w:t>e protection of Personal Data.</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0" w:name="bookmark=id.gjdgxs" w:colFirst="0" w:colLast="0"/>
      <w:bookmarkEnd w:id="0"/>
      <w:r>
        <w:rPr>
          <w:rFonts w:ascii="Arial" w:eastAsia="Arial" w:hAnsi="Arial" w:cs="Arial"/>
          <w:sz w:val="24"/>
          <w:szCs w:val="24"/>
        </w:rPr>
        <w:t>The Processor shall, in relation to any Personal Data Processed in connection with its obligations under the Contract:</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 w:name="bookmark=id.30j0zll" w:colFirst="0" w:colLast="0"/>
      <w:bookmarkEnd w:id="1"/>
      <w:r>
        <w:rPr>
          <w:rFonts w:ascii="Arial" w:eastAsia="Arial" w:hAnsi="Arial" w:cs="Arial"/>
          <w:sz w:val="24"/>
          <w:szCs w:val="24"/>
        </w:rPr>
        <w:t xml:space="preserve">Process that Personal Data only in accordance with Annex 1 </w:t>
      </w:r>
      <w:r>
        <w:rPr>
          <w:rFonts w:ascii="Arial" w:eastAsia="Arial" w:hAnsi="Arial" w:cs="Arial"/>
          <w:i/>
          <w:sz w:val="24"/>
          <w:szCs w:val="24"/>
        </w:rPr>
        <w:t>(Processing Personal Data</w:t>
      </w:r>
      <w:r>
        <w:rPr>
          <w:rFonts w:ascii="Arial" w:eastAsia="Arial" w:hAnsi="Arial" w:cs="Arial"/>
          <w:sz w:val="24"/>
          <w:szCs w:val="24"/>
        </w:rPr>
        <w:t>), unless the Processo</w:t>
      </w:r>
      <w:r>
        <w:rPr>
          <w:rFonts w:ascii="Arial" w:eastAsia="Arial" w:hAnsi="Arial" w:cs="Arial"/>
          <w:sz w:val="24"/>
          <w:szCs w:val="24"/>
        </w:rPr>
        <w:t>r is required to do otherwise by Law. If it is so required the Processor shall notify the Controller before Processing the Personal Data unless prohibited by Law;</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2" w:name="bookmark=id.1fob9te" w:colFirst="0" w:colLast="0"/>
      <w:bookmarkEnd w:id="2"/>
      <w:r>
        <w:rPr>
          <w:rFonts w:ascii="Arial" w:eastAsia="Arial" w:hAnsi="Arial" w:cs="Arial"/>
          <w:sz w:val="24"/>
          <w:szCs w:val="24"/>
        </w:rPr>
        <w:t>ensure that it has in place Protective Measures, including in the case of the Supplier the measures set out in Clause 14.3 of the Core Terms</w:t>
      </w:r>
      <w:r>
        <w:rPr>
          <w:rFonts w:ascii="Arial" w:eastAsia="Arial" w:hAnsi="Arial" w:cs="Arial"/>
          <w:i/>
          <w:sz w:val="24"/>
          <w:szCs w:val="24"/>
        </w:rPr>
        <w:t>,</w:t>
      </w:r>
      <w:r>
        <w:rPr>
          <w:rFonts w:ascii="Arial" w:eastAsia="Arial" w:hAnsi="Arial" w:cs="Arial"/>
          <w:sz w:val="24"/>
          <w:szCs w:val="24"/>
        </w:rPr>
        <w:t xml:space="preserve"> which  the Controller may reasonably reject (but failure to reject shall not amount to approval by the Controller </w:t>
      </w:r>
      <w:r>
        <w:rPr>
          <w:rFonts w:ascii="Arial" w:eastAsia="Arial" w:hAnsi="Arial" w:cs="Arial"/>
          <w:sz w:val="24"/>
          <w:szCs w:val="24"/>
        </w:rPr>
        <w:t>of the adequacy of the Protective Measures) having taken account of the:</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bookmarkStart w:id="3" w:name="bookmark=id.3znysh7" w:colFirst="0" w:colLast="0"/>
      <w:bookmarkEnd w:id="3"/>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cost of implementing any measures;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4" w:name="bookmark=id.2et92p0" w:colFirst="0" w:colLast="0"/>
      <w:bookmarkEnd w:id="4"/>
      <w:r>
        <w:rPr>
          <w:rFonts w:ascii="Arial" w:eastAsia="Arial" w:hAnsi="Arial" w:cs="Arial"/>
          <w:sz w:val="24"/>
          <w:szCs w:val="24"/>
        </w:rPr>
        <w:t>ensure that :</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the P</w:t>
      </w:r>
      <w:r>
        <w:rPr>
          <w:rFonts w:ascii="Arial" w:eastAsia="Arial" w:hAnsi="Arial" w:cs="Arial"/>
          <w:sz w:val="24"/>
          <w:szCs w:val="24"/>
        </w:rPr>
        <w:t>rocessor Personnel do not Process Personal Data except in accordance with the Contract (and in particular Annex 1</w:t>
      </w:r>
      <w:r>
        <w:rPr>
          <w:rFonts w:ascii="Arial" w:eastAsia="Arial" w:hAnsi="Arial" w:cs="Arial"/>
          <w:i/>
          <w:sz w:val="24"/>
          <w:szCs w:val="24"/>
        </w:rPr>
        <w:t xml:space="preserve"> (Processing Personal Data</w:t>
      </w:r>
      <w:r>
        <w:rPr>
          <w:rFonts w:ascii="Arial" w:eastAsia="Arial" w:hAnsi="Arial" w:cs="Arial"/>
          <w:sz w:val="24"/>
          <w:szCs w:val="24"/>
        </w:rPr>
        <w:t>));</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r>
        <w:rPr>
          <w:rFonts w:ascii="Arial" w:eastAsia="Arial" w:hAnsi="Arial" w:cs="Arial"/>
          <w:sz w:val="24"/>
          <w:szCs w:val="24"/>
        </w:rPr>
        <w:t xml:space="preserve">it takes all reasonable steps to ensure the reliability and integrity of any Processor Personnel who have access </w:t>
      </w:r>
      <w:r>
        <w:rPr>
          <w:rFonts w:ascii="Arial" w:eastAsia="Arial" w:hAnsi="Arial" w:cs="Arial"/>
          <w:sz w:val="24"/>
          <w:szCs w:val="24"/>
        </w:rPr>
        <w:t>to the Personal Data and ensure that they:</w:t>
      </w:r>
    </w:p>
    <w:p w:rsidR="00EA7B78" w:rsidRDefault="001149DD">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aware of and comply with the Processor’s duties under this Joint Schedule 11, Clauses 14 (</w:t>
      </w:r>
      <w:r>
        <w:rPr>
          <w:rFonts w:ascii="Arial" w:eastAsia="Arial" w:hAnsi="Arial" w:cs="Arial"/>
          <w:i/>
          <w:sz w:val="24"/>
          <w:szCs w:val="24"/>
        </w:rPr>
        <w:t>Data protection</w:t>
      </w:r>
      <w:r>
        <w:rPr>
          <w:rFonts w:ascii="Arial" w:eastAsia="Arial" w:hAnsi="Arial" w:cs="Arial"/>
          <w:sz w:val="24"/>
          <w:szCs w:val="24"/>
        </w:rPr>
        <w:t>), 15 (</w:t>
      </w:r>
      <w:r>
        <w:rPr>
          <w:rFonts w:ascii="Arial" w:eastAsia="Arial" w:hAnsi="Arial" w:cs="Arial"/>
          <w:i/>
          <w:sz w:val="24"/>
          <w:szCs w:val="24"/>
        </w:rPr>
        <w:t>What you must keep confidential</w:t>
      </w:r>
      <w:r>
        <w:rPr>
          <w:rFonts w:ascii="Arial" w:eastAsia="Arial" w:hAnsi="Arial" w:cs="Arial"/>
          <w:sz w:val="24"/>
          <w:szCs w:val="24"/>
        </w:rPr>
        <w:t>) and 16 (</w:t>
      </w:r>
      <w:r>
        <w:rPr>
          <w:rFonts w:ascii="Arial" w:eastAsia="Arial" w:hAnsi="Arial" w:cs="Arial"/>
          <w:i/>
          <w:sz w:val="24"/>
          <w:szCs w:val="24"/>
        </w:rPr>
        <w:t>When you can share information</w:t>
      </w:r>
      <w:r>
        <w:rPr>
          <w:rFonts w:ascii="Arial" w:eastAsia="Arial" w:hAnsi="Arial" w:cs="Arial"/>
          <w:sz w:val="24"/>
          <w:szCs w:val="24"/>
        </w:rPr>
        <w:t>) of the Core Terms;</w:t>
      </w:r>
    </w:p>
    <w:p w:rsidR="00EA7B78" w:rsidRDefault="001149DD">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subject to appropriate confidentiality undertakings with the Processor or any Subprocessor;</w:t>
      </w:r>
    </w:p>
    <w:p w:rsidR="00EA7B78" w:rsidRDefault="001149DD">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are informed of the confidential nature of the Personal Data and do not publish, disclose or divulge any of the Personal Data to any third party unless directed</w:t>
      </w:r>
      <w:r>
        <w:rPr>
          <w:rFonts w:ascii="Arial" w:eastAsia="Arial" w:hAnsi="Arial" w:cs="Arial"/>
          <w:sz w:val="24"/>
          <w:szCs w:val="24"/>
        </w:rPr>
        <w:t xml:space="preserve"> in writing to do so by the Controller or as otherwise permitted by the Contract; and</w:t>
      </w:r>
    </w:p>
    <w:p w:rsidR="00EA7B78" w:rsidRDefault="001149DD">
      <w:pPr>
        <w:numPr>
          <w:ilvl w:val="4"/>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have undergone adequate training in the use, care, protection and handling of Personal Data;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5" w:name="bookmark=id.tyjcwt" w:colFirst="0" w:colLast="0"/>
      <w:bookmarkEnd w:id="5"/>
      <w:r>
        <w:rPr>
          <w:rFonts w:ascii="Arial" w:eastAsia="Arial" w:hAnsi="Arial" w:cs="Arial"/>
          <w:sz w:val="24"/>
          <w:szCs w:val="24"/>
        </w:rPr>
        <w:t>not transfer Personal Data outside of the EU unless the prior written consen</w:t>
      </w:r>
      <w:r>
        <w:rPr>
          <w:rFonts w:ascii="Arial" w:eastAsia="Arial" w:hAnsi="Arial" w:cs="Arial"/>
          <w:sz w:val="24"/>
          <w:szCs w:val="24"/>
        </w:rPr>
        <w:t>t of the Controller has been obtained and the following conditions are fulfilled:</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6" w:name="bookmark=id.3dy6vkm" w:colFirst="0" w:colLast="0"/>
      <w:bookmarkEnd w:id="6"/>
      <w:r>
        <w:rPr>
          <w:rFonts w:ascii="Arial" w:eastAsia="Arial" w:hAnsi="Arial" w:cs="Arial"/>
          <w:sz w:val="24"/>
          <w:szCs w:val="24"/>
        </w:rPr>
        <w:t xml:space="preserve">the Controller or the Processor has provided appropriate safeguards in relation to the transfer (whether in accordance with </w:t>
      </w:r>
      <w:r>
        <w:rPr>
          <w:rFonts w:ascii="Arial" w:eastAsia="Arial" w:hAnsi="Arial" w:cs="Arial"/>
          <w:sz w:val="24"/>
          <w:szCs w:val="24"/>
        </w:rPr>
        <w:lastRenderedPageBreak/>
        <w:t>UK GDPR Article 46 or LED Article 37) as determine</w:t>
      </w:r>
      <w:r>
        <w:rPr>
          <w:rFonts w:ascii="Arial" w:eastAsia="Arial" w:hAnsi="Arial" w:cs="Arial"/>
          <w:sz w:val="24"/>
          <w:szCs w:val="24"/>
        </w:rPr>
        <w:t>d by the Controller;</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7" w:name="bookmark=id.1t3h5sf" w:colFirst="0" w:colLast="0"/>
      <w:bookmarkEnd w:id="7"/>
      <w:r>
        <w:rPr>
          <w:rFonts w:ascii="Arial" w:eastAsia="Arial" w:hAnsi="Arial" w:cs="Arial"/>
          <w:sz w:val="24"/>
          <w:szCs w:val="24"/>
        </w:rPr>
        <w:t>the Data Subject has enforceable rights and effective legal remedies;</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8" w:name="bookmark=id.4d34og8" w:colFirst="0" w:colLast="0"/>
      <w:bookmarkEnd w:id="8"/>
      <w:r>
        <w:rPr>
          <w:rFonts w:ascii="Arial" w:eastAsia="Arial" w:hAnsi="Arial" w:cs="Arial"/>
          <w:sz w:val="24"/>
          <w:szCs w:val="24"/>
        </w:rPr>
        <w:t>the Processor complies with its obligations under the Data Protection Legislation by providing an adequate level of protection to any Personal Data that is transferr</w:t>
      </w:r>
      <w:r>
        <w:rPr>
          <w:rFonts w:ascii="Arial" w:eastAsia="Arial" w:hAnsi="Arial" w:cs="Arial"/>
          <w:sz w:val="24"/>
          <w:szCs w:val="24"/>
        </w:rPr>
        <w:t>ed (or, if it is not so bound, uses its best endeavours to assist the Controller in meeting its obligations); and</w:t>
      </w:r>
    </w:p>
    <w:p w:rsidR="00EA7B78" w:rsidRDefault="001149DD">
      <w:pPr>
        <w:numPr>
          <w:ilvl w:val="3"/>
          <w:numId w:val="3"/>
        </w:numPr>
        <w:pBdr>
          <w:top w:val="nil"/>
          <w:left w:val="nil"/>
          <w:bottom w:val="nil"/>
          <w:right w:val="nil"/>
          <w:between w:val="nil"/>
        </w:pBdr>
        <w:tabs>
          <w:tab w:val="left" w:pos="2261"/>
        </w:tabs>
        <w:spacing w:after="120" w:line="240" w:lineRule="auto"/>
        <w:ind w:hanging="707"/>
        <w:jc w:val="both"/>
        <w:rPr>
          <w:rFonts w:ascii="Arial" w:eastAsia="Arial" w:hAnsi="Arial" w:cs="Arial"/>
          <w:sz w:val="24"/>
          <w:szCs w:val="24"/>
        </w:rPr>
      </w:pPr>
      <w:bookmarkStart w:id="9" w:name="bookmark=id.2s8eyo1" w:colFirst="0" w:colLast="0"/>
      <w:bookmarkEnd w:id="9"/>
      <w:r>
        <w:rPr>
          <w:rFonts w:ascii="Arial" w:eastAsia="Arial" w:hAnsi="Arial" w:cs="Arial"/>
          <w:sz w:val="24"/>
          <w:szCs w:val="24"/>
        </w:rPr>
        <w:t>the Processor complies with any reasonable instructions notified to it in advance by the Controller with respect to the Processing of the Pers</w:t>
      </w:r>
      <w:r>
        <w:rPr>
          <w:rFonts w:ascii="Arial" w:eastAsia="Arial" w:hAnsi="Arial" w:cs="Arial"/>
          <w:sz w:val="24"/>
          <w:szCs w:val="24"/>
        </w:rPr>
        <w:t>onal Data; and</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0" w:name="bookmark=id.17dp8vu" w:colFirst="0" w:colLast="0"/>
      <w:bookmarkEnd w:id="10"/>
      <w:r>
        <w:rPr>
          <w:rFonts w:ascii="Arial" w:eastAsia="Arial" w:hAnsi="Arial" w:cs="Arial"/>
          <w:sz w:val="24"/>
          <w:szCs w:val="24"/>
        </w:rPr>
        <w:t>at the written direction of the Controller, delete or return Personal Data (and any copies of it) to the Controller on termination of the Contract unless the Processor is required by Law to retain the Personal Data.</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1" w:name="bookmark=id.3rdcrjn" w:colFirst="0" w:colLast="0"/>
      <w:bookmarkEnd w:id="11"/>
      <w:r>
        <w:rPr>
          <w:rFonts w:ascii="Arial" w:eastAsia="Arial" w:hAnsi="Arial" w:cs="Arial"/>
          <w:sz w:val="24"/>
          <w:szCs w:val="24"/>
        </w:rPr>
        <w:t>Subject to paragraph 8 of this Joint Schedule 11, the Processor  shall notify the Controller immediately if in relation to it Processing Personal Data under or in connection with the Contract it:</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Data Subject Access Request (or purported Data Su</w:t>
      </w:r>
      <w:r>
        <w:rPr>
          <w:rFonts w:ascii="Arial" w:eastAsia="Arial" w:hAnsi="Arial" w:cs="Arial"/>
          <w:sz w:val="24"/>
          <w:szCs w:val="24"/>
        </w:rPr>
        <w:t>bject Access Request);</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 request to rectify, block or erase any Personal Data;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 xml:space="preserve">receives any other request, complaint or communication relating to either Party's obligations under the Data Protection Legislation;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any communication from t</w:t>
      </w:r>
      <w:r>
        <w:rPr>
          <w:rFonts w:ascii="Arial" w:eastAsia="Arial" w:hAnsi="Arial" w:cs="Arial"/>
          <w:sz w:val="24"/>
          <w:szCs w:val="24"/>
        </w:rPr>
        <w:t xml:space="preserve">he Information Commissioner or any other regulatory authority in connection with Personal Data Processed under the Contract;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receives a request from any third Party for disclosure of Personal Data where compliance with such request is required or purporte</w:t>
      </w:r>
      <w:r>
        <w:rPr>
          <w:rFonts w:ascii="Arial" w:eastAsia="Arial" w:hAnsi="Arial" w:cs="Arial"/>
          <w:sz w:val="24"/>
          <w:szCs w:val="24"/>
        </w:rPr>
        <w:t>d to be required by Law; or</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becomes aware of a Personal Data Breach.</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Processor’s obligation to notify under paragraph 7 of this Joint Schedule 11 shall include the provision of further information to the Controller, as details become available.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Taking</w:t>
      </w:r>
      <w:r>
        <w:rPr>
          <w:rFonts w:ascii="Arial" w:eastAsia="Arial" w:hAnsi="Arial" w:cs="Arial"/>
          <w:sz w:val="24"/>
          <w:szCs w:val="24"/>
        </w:rPr>
        <w:t xml:space="preserve"> into account the nature of the Processing, the Processor shall provide the Controller with assistance in relation to either Party's obligations under Data Protection Legislation and any complaint, communication or request made under paragraph 7 of this Jo</w:t>
      </w:r>
      <w:r>
        <w:rPr>
          <w:rFonts w:ascii="Arial" w:eastAsia="Arial" w:hAnsi="Arial" w:cs="Arial"/>
          <w:sz w:val="24"/>
          <w:szCs w:val="24"/>
        </w:rPr>
        <w:t>int Schedule 11 (and insofar as possible within the timescales reasonably required by the Controller) including by immediately providing:</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with full details and copies of the complaint, communication or request;</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lastRenderedPageBreak/>
        <w:t xml:space="preserve">such assistance as is reasonably requested by the Controller to enable it to comply with a Data Subject Access Request within the relevant timescales set out in the Data Protection Legislation;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at its request, with any Personal Data it hol</w:t>
      </w:r>
      <w:r>
        <w:rPr>
          <w:rFonts w:ascii="Arial" w:eastAsia="Arial" w:hAnsi="Arial" w:cs="Arial"/>
          <w:sz w:val="24"/>
          <w:szCs w:val="24"/>
        </w:rPr>
        <w:t xml:space="preserve">ds in relation to a Data Subject;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following any Personal Data Breach;  and/or</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assistance as requested by the Controller with respect to any request from the Information Commissioner’s Office, or any consultation b</w:t>
      </w:r>
      <w:r>
        <w:rPr>
          <w:rFonts w:ascii="Arial" w:eastAsia="Arial" w:hAnsi="Arial" w:cs="Arial"/>
          <w:sz w:val="24"/>
          <w:szCs w:val="24"/>
        </w:rPr>
        <w:t>y the Controller with the Information Commissioner's Office.</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maintain complete and accurate records and information to demonstrate its compliance with this Joint Schedule 11. This requirement does not apply where the Processor employs f</w:t>
      </w:r>
      <w:r>
        <w:rPr>
          <w:rFonts w:ascii="Arial" w:eastAsia="Arial" w:hAnsi="Arial" w:cs="Arial"/>
          <w:sz w:val="24"/>
          <w:szCs w:val="24"/>
        </w:rPr>
        <w:t>ewer than 250 staff, unless:</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 that the Processing is not occasional;</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bookmarkStart w:id="12" w:name="_heading=h.26in1rg" w:colFirst="0" w:colLast="0"/>
      <w:bookmarkEnd w:id="12"/>
      <w:r>
        <w:rPr>
          <w:rFonts w:ascii="Arial" w:eastAsia="Arial" w:hAnsi="Arial" w:cs="Arial"/>
          <w:sz w:val="24"/>
          <w:szCs w:val="24"/>
        </w:rPr>
        <w:t>the Controller determines the Processing includes special categories of data as referred to in Article 9(1) of the UK GDPR or Personal Data relating to criminal convictions and offences referred to in Article 10 of the UK GDPR; or</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the Controller determines</w:t>
      </w:r>
      <w:r>
        <w:rPr>
          <w:rFonts w:ascii="Arial" w:eastAsia="Arial" w:hAnsi="Arial" w:cs="Arial"/>
          <w:sz w:val="24"/>
          <w:szCs w:val="24"/>
        </w:rPr>
        <w:t xml:space="preserve"> that the Processing is likely to result in a risk to the rights and freedoms of Data Subjects.</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3" w:name="bookmark=id.lnxbz9" w:colFirst="0" w:colLast="0"/>
      <w:bookmarkEnd w:id="13"/>
      <w:r>
        <w:rPr>
          <w:rFonts w:ascii="Arial" w:eastAsia="Arial" w:hAnsi="Arial" w:cs="Arial"/>
          <w:sz w:val="24"/>
          <w:szCs w:val="24"/>
        </w:rPr>
        <w:t>The Processor shall allow for audits of its Data Processing activity by the Controller or the Controller’s designated auditor.</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designate a Dat</w:t>
      </w:r>
      <w:r>
        <w:rPr>
          <w:rFonts w:ascii="Arial" w:eastAsia="Arial" w:hAnsi="Arial" w:cs="Arial"/>
          <w:sz w:val="24"/>
          <w:szCs w:val="24"/>
        </w:rPr>
        <w:t xml:space="preserve">a Protection Officer if required by the Data Protection Legislation.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Before allowing any Subprocessor to Process any Personal Data related to the Contract, the Processor must:</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notify the Controller in writing of the intended Subprocessor and Processing;</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o</w:t>
      </w:r>
      <w:r>
        <w:rPr>
          <w:rFonts w:ascii="Arial" w:eastAsia="Arial" w:hAnsi="Arial" w:cs="Arial"/>
          <w:sz w:val="24"/>
          <w:szCs w:val="24"/>
        </w:rPr>
        <w:t xml:space="preserve">btain the written consent of the Controller; </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enter into a written agreement with the Subprocessor which give effect to the terms set out in this Joint Schedule 11 such that they apply to the Subprocessor; and</w:t>
      </w:r>
    </w:p>
    <w:p w:rsidR="00EA7B78" w:rsidRDefault="001149DD">
      <w:pPr>
        <w:numPr>
          <w:ilvl w:val="2"/>
          <w:numId w:val="3"/>
        </w:numPr>
        <w:pBdr>
          <w:top w:val="nil"/>
          <w:left w:val="nil"/>
          <w:bottom w:val="nil"/>
          <w:right w:val="nil"/>
          <w:between w:val="nil"/>
        </w:pBdr>
        <w:spacing w:after="120" w:line="240" w:lineRule="auto"/>
        <w:jc w:val="both"/>
        <w:rPr>
          <w:rFonts w:ascii="Arial" w:eastAsia="Arial" w:hAnsi="Arial" w:cs="Arial"/>
          <w:sz w:val="24"/>
          <w:szCs w:val="24"/>
        </w:rPr>
      </w:pPr>
      <w:r>
        <w:rPr>
          <w:rFonts w:ascii="Arial" w:eastAsia="Arial" w:hAnsi="Arial" w:cs="Arial"/>
          <w:sz w:val="24"/>
          <w:szCs w:val="24"/>
        </w:rPr>
        <w:t>provide the Controller with such information r</w:t>
      </w:r>
      <w:r>
        <w:rPr>
          <w:rFonts w:ascii="Arial" w:eastAsia="Arial" w:hAnsi="Arial" w:cs="Arial"/>
          <w:sz w:val="24"/>
          <w:szCs w:val="24"/>
        </w:rPr>
        <w:t>egarding the Subprocessor as the Controller may reasonably require.</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Processor shall remain fully liable for all acts or omissions of any of its Subprocessors.</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bookmarkStart w:id="14" w:name="bookmark=id.35nkun2" w:colFirst="0" w:colLast="0"/>
      <w:bookmarkEnd w:id="14"/>
      <w:r>
        <w:rPr>
          <w:rFonts w:ascii="Arial" w:eastAsia="Arial" w:hAnsi="Arial" w:cs="Arial"/>
          <w:sz w:val="24"/>
          <w:szCs w:val="24"/>
        </w:rPr>
        <w:t>The Relevant Authority may, at any time on not less than thirty (30) Working Days’ notice, re</w:t>
      </w:r>
      <w:r>
        <w:rPr>
          <w:rFonts w:ascii="Arial" w:eastAsia="Arial" w:hAnsi="Arial" w:cs="Arial"/>
          <w:sz w:val="24"/>
          <w:szCs w:val="24"/>
        </w:rPr>
        <w:t>vise this Joint Schedule 11 by replacing it with any applicable controller to processor standard clauses or similar terms forming part of an applicable certification scheme (which shall apply when incorporated by attachment to the Contract).</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Parties ag</w:t>
      </w:r>
      <w:r>
        <w:rPr>
          <w:rFonts w:ascii="Arial" w:eastAsia="Arial" w:hAnsi="Arial" w:cs="Arial"/>
          <w:sz w:val="24"/>
          <w:szCs w:val="24"/>
        </w:rPr>
        <w:t xml:space="preserve">ree to take account of any guidance issued by the Information Commissioner’s Office. The Relevant Authority may on not less than thirty (30) Working Days’ notice to the Supplier amend the Contract to ensure that it complies with any guidance issued by the </w:t>
      </w:r>
      <w:r>
        <w:rPr>
          <w:rFonts w:ascii="Arial" w:eastAsia="Arial" w:hAnsi="Arial" w:cs="Arial"/>
          <w:sz w:val="24"/>
          <w:szCs w:val="24"/>
        </w:rPr>
        <w:t xml:space="preserve">Information Commissioner’s Office. </w:t>
      </w:r>
    </w:p>
    <w:p w:rsidR="00EA7B78" w:rsidRDefault="001149D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Where the Parties are Joint Controllers of Personal Data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the event that the Parties are Joint Controllers in respect of Personal Data under the Contract, the Parties shall implement paragraphs that are necessary to comply with UK GDPR Article 26 based on the terms set out in Annex 2 to this Joint Schedule 11.</w:t>
      </w:r>
      <w:r>
        <w:rPr>
          <w:rFonts w:ascii="Arial" w:eastAsia="Arial" w:hAnsi="Arial" w:cs="Arial"/>
          <w:sz w:val="24"/>
          <w:szCs w:val="24"/>
        </w:rPr>
        <w:t xml:space="preserve"> </w:t>
      </w:r>
    </w:p>
    <w:p w:rsidR="00EA7B78" w:rsidRDefault="001149DD">
      <w:pPr>
        <w:keepNext/>
        <w:pBdr>
          <w:top w:val="nil"/>
          <w:left w:val="nil"/>
          <w:bottom w:val="nil"/>
          <w:right w:val="nil"/>
          <w:between w:val="nil"/>
        </w:pBdr>
        <w:spacing w:after="220" w:line="240" w:lineRule="auto"/>
        <w:jc w:val="both"/>
        <w:rPr>
          <w:rFonts w:ascii="Arial" w:eastAsia="Arial" w:hAnsi="Arial" w:cs="Arial"/>
          <w:b/>
          <w:color w:val="000000"/>
          <w:sz w:val="24"/>
          <w:szCs w:val="24"/>
        </w:rPr>
      </w:pPr>
      <w:r>
        <w:rPr>
          <w:rFonts w:ascii="Arial" w:eastAsia="Arial" w:hAnsi="Arial" w:cs="Arial"/>
          <w:b/>
          <w:color w:val="000000"/>
          <w:sz w:val="24"/>
          <w:szCs w:val="24"/>
        </w:rPr>
        <w:t xml:space="preserve">Independent Controllers of Personal Data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With respect to Personal Data provided by one Party to another Party for which each Party acts as Controller but which is not under the Joint Control of the Parties, each Party undertakes to comply with the appli</w:t>
      </w:r>
      <w:r>
        <w:rPr>
          <w:rFonts w:ascii="Arial" w:eastAsia="Arial" w:hAnsi="Arial" w:cs="Arial"/>
          <w:sz w:val="24"/>
          <w:szCs w:val="24"/>
        </w:rPr>
        <w:t>cable Data Protection Legislation in respect of their Processing of such Personal Data as Controller.</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Process the Personal Data in compliance with its obligations under the Data Protection Legislation and not do anything to cause the other</w:t>
      </w:r>
      <w:r>
        <w:rPr>
          <w:rFonts w:ascii="Arial" w:eastAsia="Arial" w:hAnsi="Arial" w:cs="Arial"/>
          <w:sz w:val="24"/>
          <w:szCs w:val="24"/>
        </w:rPr>
        <w:t xml:space="preserve"> Party to be in breach of it.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has provided Personal Data to the other Party in accordance with paragraph 18 of this Joint Schedule 11 above, the recipient of the Personal Data will provide all such relevant documents and information relating</w:t>
      </w:r>
      <w:r>
        <w:rPr>
          <w:rFonts w:ascii="Arial" w:eastAsia="Arial" w:hAnsi="Arial" w:cs="Arial"/>
          <w:sz w:val="24"/>
          <w:szCs w:val="24"/>
        </w:rPr>
        <w:t xml:space="preserve"> to its data protection policies and procedures as the other Party may reasonably require.</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be responsible for their own compliance with Articles 13 and 14 UK GDPR in respect of the Processing of Personal Data for the purposes of the Contr</w:t>
      </w:r>
      <w:r>
        <w:rPr>
          <w:rFonts w:ascii="Arial" w:eastAsia="Arial" w:hAnsi="Arial" w:cs="Arial"/>
          <w:sz w:val="24"/>
          <w:szCs w:val="24"/>
        </w:rPr>
        <w:t xml:space="preserve">act.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Parties shall only provide Personal Data to each other:</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to the extent necessary to perform their respective obligations under the Contract;</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in compliance with the Data Protection Legislation (including by ensuring all required data privacy information has been given to affected Data Subjects to meet the requirements of Articles 13 and 14 of the UK GDPR); and</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it has recorded it in Annex 1</w:t>
      </w:r>
      <w:r>
        <w:rPr>
          <w:rFonts w:ascii="Arial" w:eastAsia="Arial" w:hAnsi="Arial" w:cs="Arial"/>
          <w:sz w:val="24"/>
          <w:szCs w:val="24"/>
        </w:rPr>
        <w:t xml:space="preserve"> </w:t>
      </w:r>
      <w:r>
        <w:rPr>
          <w:rFonts w:ascii="Arial" w:eastAsia="Arial" w:hAnsi="Arial" w:cs="Arial"/>
          <w:i/>
          <w:sz w:val="24"/>
          <w:szCs w:val="24"/>
        </w:rPr>
        <w:t>(Processing Personal Data).</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Taking into account the state of the art, the costs of implementation and the nature, scope, context and purposes of Processing as well as the risk of varying likelihood and severity for the rights and freedoms of natural pers</w:t>
      </w:r>
      <w:r>
        <w:rPr>
          <w:rFonts w:ascii="Arial" w:eastAsia="Arial" w:hAnsi="Arial" w:cs="Arial"/>
          <w:sz w:val="24"/>
          <w:szCs w:val="24"/>
        </w:rPr>
        <w:t>ons, each Party shall, with respect to its Processing of Personal Data as Independent Controller, implement and maintain appropriate technical and organisational measures to ensure a level of security appropriate to that risk, including, as appropriate, th</w:t>
      </w:r>
      <w:r>
        <w:rPr>
          <w:rFonts w:ascii="Arial" w:eastAsia="Arial" w:hAnsi="Arial" w:cs="Arial"/>
          <w:sz w:val="24"/>
          <w:szCs w:val="24"/>
        </w:rPr>
        <w:t xml:space="preserve">e measures referred to in Article 32(1)(a), (b), (c) and (d) of the UK GDPR, and the measures shall, at a minimum, comply with the </w:t>
      </w:r>
      <w:r>
        <w:rPr>
          <w:rFonts w:ascii="Arial" w:eastAsia="Arial" w:hAnsi="Arial" w:cs="Arial"/>
          <w:sz w:val="24"/>
          <w:szCs w:val="24"/>
        </w:rPr>
        <w:lastRenderedPageBreak/>
        <w:t>requirements of the Data Protection Legislation, including Article 32 of the UK GDPR.</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 Party Processing Personal Data for th</w:t>
      </w:r>
      <w:r>
        <w:rPr>
          <w:rFonts w:ascii="Arial" w:eastAsia="Arial" w:hAnsi="Arial" w:cs="Arial"/>
          <w:sz w:val="24"/>
          <w:szCs w:val="24"/>
        </w:rPr>
        <w:t>e purposes of the Contract shall maintain a record of its Processing activities in accordance with Article 30 UK GDPR and shall make the record available to the other Party upon reasonable request.</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a Party receives a request by any Data Subject to ex</w:t>
      </w:r>
      <w:r>
        <w:rPr>
          <w:rFonts w:ascii="Arial" w:eastAsia="Arial" w:hAnsi="Arial" w:cs="Arial"/>
          <w:sz w:val="24"/>
          <w:szCs w:val="24"/>
        </w:rPr>
        <w:t xml:space="preserve">ercise any of their rights under the Data Protection Legislation in relation to the Personal Data provided to it by the other Party pursuant to the Contract </w:t>
      </w:r>
      <w:r>
        <w:rPr>
          <w:rFonts w:ascii="Arial" w:eastAsia="Arial" w:hAnsi="Arial" w:cs="Arial"/>
          <w:b/>
          <w:sz w:val="24"/>
          <w:szCs w:val="24"/>
        </w:rPr>
        <w:t>(“Request Recipient”)</w:t>
      </w:r>
      <w:r>
        <w:rPr>
          <w:rFonts w:ascii="Arial" w:eastAsia="Arial" w:hAnsi="Arial" w:cs="Arial"/>
          <w:sz w:val="24"/>
          <w:szCs w:val="24"/>
        </w:rPr>
        <w:t>:</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other Party shall provide any information and/or assistance as reasonably requested by the Request Recipient to help it respond to the request or correspondence, at the cost of the Request Recipient; or</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where the request or correspondence is directed t</w:t>
      </w:r>
      <w:r>
        <w:rPr>
          <w:rFonts w:ascii="Arial" w:eastAsia="Arial" w:hAnsi="Arial" w:cs="Arial"/>
          <w:sz w:val="24"/>
          <w:szCs w:val="24"/>
        </w:rPr>
        <w:t>o the other Party and/or relates to that other Party's Processing of the Personal Data, the Request Recipient  will:</w:t>
      </w:r>
    </w:p>
    <w:p w:rsidR="00EA7B78" w:rsidRDefault="001149DD">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promptly, and in any event within five (5) Working Days of receipt of the request or correspondence, inform the other Party that it has rec</w:t>
      </w:r>
      <w:r>
        <w:rPr>
          <w:rFonts w:ascii="Arial" w:eastAsia="Arial" w:hAnsi="Arial" w:cs="Arial"/>
          <w:sz w:val="24"/>
          <w:szCs w:val="24"/>
        </w:rPr>
        <w:t>eived the same and shall forward such request or correspondence to the other Party; and</w:t>
      </w:r>
    </w:p>
    <w:p w:rsidR="00EA7B78" w:rsidRDefault="001149DD">
      <w:pPr>
        <w:numPr>
          <w:ilvl w:val="3"/>
          <w:numId w:val="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provide any information and/or assistance as reasonably requested by the other Party to help it respond to the request or correspondence in the timeframes specified by Data Protection Legislation.</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Each Party shall promptly notify the other Party upon it be</w:t>
      </w:r>
      <w:r>
        <w:rPr>
          <w:rFonts w:ascii="Arial" w:eastAsia="Arial" w:hAnsi="Arial" w:cs="Arial"/>
          <w:sz w:val="24"/>
          <w:szCs w:val="24"/>
        </w:rPr>
        <w:t xml:space="preserve">coming aware of any Personal Data Breach relating to Personal Data provided by the other Party pursuant to the Contract and shall: </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do all such things as reasonably necessary to assist the other Party in mitigating the effects of the Personal Data Breach; </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implement any measures necessary to restore the security of any compromised Personal Data; </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work with the other Party to make any required notifications to the Information Commissioner’s Office and affected Data Subjects in accordance with the Data Protec</w:t>
      </w:r>
      <w:r>
        <w:rPr>
          <w:rFonts w:ascii="Arial" w:eastAsia="Arial" w:hAnsi="Arial" w:cs="Arial"/>
          <w:sz w:val="24"/>
          <w:szCs w:val="24"/>
        </w:rPr>
        <w:t>tion Legislation (including the timeframes set out therein); and</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 do anything which may damage the reputation of the other Party or that Party's relationship with the relevant Data Subjects, save as required by Law.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Personal Data provided by one Party </w:t>
      </w:r>
      <w:r>
        <w:rPr>
          <w:rFonts w:ascii="Arial" w:eastAsia="Arial" w:hAnsi="Arial" w:cs="Arial"/>
          <w:sz w:val="24"/>
          <w:szCs w:val="24"/>
        </w:rPr>
        <w:t xml:space="preserve">to the other Party may be used exclusively to exercise rights and obligations under the Contract as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b/>
        <w:t>Personal Data shall not be retained or processed for longer than is necessary to perform each Party’s res</w:t>
      </w:r>
      <w:r>
        <w:rPr>
          <w:rFonts w:ascii="Arial" w:eastAsia="Arial" w:hAnsi="Arial" w:cs="Arial"/>
          <w:sz w:val="24"/>
          <w:szCs w:val="24"/>
        </w:rPr>
        <w:t xml:space="preserve">pective obligations under the Contract which is specified in Annex 1 </w:t>
      </w:r>
      <w:r>
        <w:rPr>
          <w:rFonts w:ascii="Arial" w:eastAsia="Arial" w:hAnsi="Arial" w:cs="Arial"/>
          <w:i/>
          <w:sz w:val="24"/>
          <w:szCs w:val="24"/>
        </w:rPr>
        <w:t>(Processing Personal Data)</w:t>
      </w:r>
      <w:r>
        <w:rPr>
          <w:rFonts w:ascii="Arial" w:eastAsia="Arial" w:hAnsi="Arial" w:cs="Arial"/>
          <w:sz w:val="24"/>
          <w:szCs w:val="24"/>
        </w:rPr>
        <w:t xml:space="preserve">. </w:t>
      </w:r>
    </w:p>
    <w:p w:rsidR="00EA7B78" w:rsidRDefault="001149DD">
      <w:pPr>
        <w:numPr>
          <w:ilvl w:val="1"/>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Notwithstanding the general application of paragraphs 2 to 16 of this Joint Schedule 11 to Personal Data, where the Supplier is required to exercise its regulatory and/or legal obligations in respect of Personal Data, it shall act as an Independent Control</w:t>
      </w:r>
      <w:r>
        <w:rPr>
          <w:rFonts w:ascii="Arial" w:eastAsia="Arial" w:hAnsi="Arial" w:cs="Arial"/>
          <w:sz w:val="24"/>
          <w:szCs w:val="24"/>
        </w:rPr>
        <w:t>ler of Personal Data in accordance with paragraphs 18 to 28 of this Joint Schedule 11.</w:t>
      </w:r>
    </w:p>
    <w:p w:rsidR="00EA7B78" w:rsidRDefault="00EA7B78">
      <w:pPr>
        <w:pBdr>
          <w:top w:val="nil"/>
          <w:left w:val="nil"/>
          <w:bottom w:val="nil"/>
          <w:right w:val="nil"/>
          <w:between w:val="nil"/>
        </w:pBdr>
        <w:spacing w:before="280" w:after="120"/>
        <w:ind w:left="709"/>
        <w:rPr>
          <w:rFonts w:ascii="Arial" w:eastAsia="Arial" w:hAnsi="Arial" w:cs="Arial"/>
          <w:sz w:val="24"/>
          <w:szCs w:val="24"/>
        </w:rPr>
      </w:pPr>
    </w:p>
    <w:p w:rsidR="00EA7B78" w:rsidRDefault="001149DD">
      <w:pPr>
        <w:pStyle w:val="Heading2"/>
        <w:spacing w:before="0" w:after="240"/>
        <w:ind w:left="709" w:hanging="709"/>
        <w:rPr>
          <w:rFonts w:ascii="Arial" w:eastAsia="Arial" w:hAnsi="Arial" w:cs="Arial"/>
          <w:b w:val="0"/>
          <w:sz w:val="24"/>
          <w:szCs w:val="24"/>
        </w:rPr>
      </w:pPr>
      <w:r>
        <w:br w:type="page"/>
      </w:r>
      <w:r>
        <w:rPr>
          <w:rFonts w:ascii="Arial" w:eastAsia="Arial" w:hAnsi="Arial" w:cs="Arial"/>
          <w:sz w:val="24"/>
          <w:szCs w:val="24"/>
        </w:rPr>
        <w:lastRenderedPageBreak/>
        <w:t>Annex 1 - Processing Personal Data</w:t>
      </w:r>
    </w:p>
    <w:p w:rsidR="00EA7B78" w:rsidRDefault="001149DD">
      <w:pPr>
        <w:rPr>
          <w:rFonts w:ascii="Arial" w:eastAsia="Arial" w:hAnsi="Arial" w:cs="Arial"/>
          <w:sz w:val="24"/>
          <w:szCs w:val="24"/>
        </w:rPr>
      </w:pPr>
      <w:r>
        <w:rPr>
          <w:rFonts w:ascii="Arial" w:eastAsia="Arial" w:hAnsi="Arial" w:cs="Arial"/>
          <w:sz w:val="24"/>
          <w:szCs w:val="24"/>
        </w:rPr>
        <w:t>This Annex shall be completed by the Controller, who may take account of the view of the Processors, however the final decision as t</w:t>
      </w:r>
      <w:r>
        <w:rPr>
          <w:rFonts w:ascii="Arial" w:eastAsia="Arial" w:hAnsi="Arial" w:cs="Arial"/>
          <w:sz w:val="24"/>
          <w:szCs w:val="24"/>
        </w:rPr>
        <w:t xml:space="preserve">o the content of this Annex shall be with the Relevant Authority at its absolute discretion.  </w:t>
      </w:r>
    </w:p>
    <w:p w:rsidR="00EA7B78" w:rsidRDefault="001149DD">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 xml:space="preserve">The contact details of the Relevant Authority’s Data Protection Officer are: </w:t>
      </w:r>
      <w:r>
        <w:rPr>
          <w:rFonts w:ascii="Arial" w:eastAsia="Arial" w:hAnsi="Arial" w:cs="Arial"/>
          <w:b/>
          <w:sz w:val="24"/>
          <w:szCs w:val="24"/>
        </w:rPr>
        <w:t>Cabinet Office Data Protection Officer</w:t>
      </w:r>
    </w:p>
    <w:p w:rsidR="00EA7B78" w:rsidRDefault="001149DD">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contact details of the Supplier’s Data Pr</w:t>
      </w:r>
      <w:r>
        <w:rPr>
          <w:rFonts w:ascii="Arial" w:eastAsia="Arial" w:hAnsi="Arial" w:cs="Arial"/>
          <w:sz w:val="24"/>
          <w:szCs w:val="24"/>
        </w:rPr>
        <w:t xml:space="preserve">otection Officer are: </w:t>
      </w:r>
      <w:r>
        <w:rPr>
          <w:rFonts w:ascii="Arial" w:eastAsia="Arial" w:hAnsi="Arial" w:cs="Arial"/>
          <w:b/>
          <w:sz w:val="24"/>
          <w:szCs w:val="24"/>
          <w:highlight w:val="yellow"/>
        </w:rPr>
        <w:t>[Insert</w:t>
      </w:r>
      <w:r>
        <w:rPr>
          <w:rFonts w:ascii="Arial" w:eastAsia="Arial" w:hAnsi="Arial" w:cs="Arial"/>
          <w:sz w:val="24"/>
          <w:szCs w:val="24"/>
        </w:rPr>
        <w:t xml:space="preserve"> Contact details]</w:t>
      </w:r>
    </w:p>
    <w:p w:rsidR="00EA7B78" w:rsidRDefault="001149DD">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The Processor shall comply with any further written instructions with respect to Processing by the Controller.</w:t>
      </w:r>
    </w:p>
    <w:p w:rsidR="00EA7B78" w:rsidRDefault="001149DD">
      <w:pPr>
        <w:keepNext/>
        <w:numPr>
          <w:ilvl w:val="3"/>
          <w:numId w:val="8"/>
        </w:numPr>
        <w:spacing w:after="0" w:line="240" w:lineRule="auto"/>
        <w:jc w:val="both"/>
        <w:rPr>
          <w:rFonts w:ascii="Arial" w:eastAsia="Arial" w:hAnsi="Arial" w:cs="Arial"/>
          <w:sz w:val="24"/>
          <w:szCs w:val="24"/>
        </w:rPr>
      </w:pPr>
      <w:r>
        <w:rPr>
          <w:rFonts w:ascii="Arial" w:eastAsia="Arial" w:hAnsi="Arial" w:cs="Arial"/>
          <w:sz w:val="24"/>
          <w:szCs w:val="24"/>
        </w:rPr>
        <w:t>Any such further instructions shall be incorporated into this Annex.</w:t>
      </w:r>
    </w:p>
    <w:p w:rsidR="00EA7B78" w:rsidRDefault="00EA7B78">
      <w:pPr>
        <w:keepNext/>
        <w:ind w:left="720"/>
        <w:rPr>
          <w:rFonts w:ascii="Arial" w:eastAsia="Arial" w:hAnsi="Arial" w:cs="Arial"/>
          <w:sz w:val="24"/>
          <w:szCs w:val="24"/>
        </w:rPr>
      </w:pPr>
    </w:p>
    <w:tbl>
      <w:tblPr>
        <w:tblStyle w:val="a2"/>
        <w:tblW w:w="96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7423"/>
      </w:tblGrid>
      <w:tr w:rsidR="00EA7B78">
        <w:trPr>
          <w:trHeight w:val="700"/>
        </w:trPr>
        <w:tc>
          <w:tcPr>
            <w:tcW w:w="2263" w:type="dxa"/>
            <w:shd w:val="clear" w:color="auto" w:fill="BFBFBF"/>
            <w:vAlign w:val="center"/>
          </w:tcPr>
          <w:p w:rsidR="00EA7B78" w:rsidRDefault="001149DD">
            <w:pPr>
              <w:rPr>
                <w:rFonts w:ascii="Arial" w:eastAsia="Arial" w:hAnsi="Arial" w:cs="Arial"/>
                <w:b/>
                <w:sz w:val="24"/>
                <w:szCs w:val="24"/>
              </w:rPr>
            </w:pPr>
            <w:r>
              <w:rPr>
                <w:rFonts w:ascii="Arial" w:eastAsia="Arial" w:hAnsi="Arial" w:cs="Arial"/>
                <w:b/>
                <w:sz w:val="24"/>
                <w:szCs w:val="24"/>
              </w:rPr>
              <w:t>Description</w:t>
            </w:r>
          </w:p>
        </w:tc>
        <w:tc>
          <w:tcPr>
            <w:tcW w:w="7423" w:type="dxa"/>
            <w:shd w:val="clear" w:color="auto" w:fill="BFBFBF"/>
            <w:vAlign w:val="center"/>
          </w:tcPr>
          <w:p w:rsidR="00EA7B78" w:rsidRDefault="001149DD">
            <w:pPr>
              <w:jc w:val="center"/>
              <w:rPr>
                <w:rFonts w:ascii="Arial" w:eastAsia="Arial" w:hAnsi="Arial" w:cs="Arial"/>
                <w:b/>
                <w:sz w:val="24"/>
                <w:szCs w:val="24"/>
              </w:rPr>
            </w:pPr>
            <w:r>
              <w:rPr>
                <w:rFonts w:ascii="Arial" w:eastAsia="Arial" w:hAnsi="Arial" w:cs="Arial"/>
                <w:b/>
                <w:sz w:val="24"/>
                <w:szCs w:val="24"/>
              </w:rPr>
              <w:t>Details</w:t>
            </w:r>
          </w:p>
        </w:tc>
      </w:tr>
      <w:tr w:rsidR="00EA7B78">
        <w:trPr>
          <w:trHeight w:val="1620"/>
        </w:trPr>
        <w:tc>
          <w:tcPr>
            <w:tcW w:w="2263" w:type="dxa"/>
            <w:shd w:val="clear" w:color="auto" w:fill="auto"/>
          </w:tcPr>
          <w:p w:rsidR="00EA7B78" w:rsidRDefault="001149DD">
            <w:pPr>
              <w:rPr>
                <w:rFonts w:ascii="Arial" w:eastAsia="Arial" w:hAnsi="Arial" w:cs="Arial"/>
                <w:sz w:val="24"/>
                <w:szCs w:val="24"/>
              </w:rPr>
            </w:pPr>
            <w:r>
              <w:rPr>
                <w:rFonts w:ascii="Arial" w:eastAsia="Arial" w:hAnsi="Arial" w:cs="Arial"/>
                <w:sz w:val="24"/>
                <w:szCs w:val="24"/>
              </w:rPr>
              <w:t>Identity of Controller for each Category of Personal Data</w:t>
            </w:r>
          </w:p>
        </w:tc>
        <w:tc>
          <w:tcPr>
            <w:tcW w:w="7423" w:type="dxa"/>
            <w:shd w:val="clear" w:color="auto" w:fill="auto"/>
          </w:tcPr>
          <w:p w:rsidR="00EA7B78" w:rsidRDefault="001149DD">
            <w:pPr>
              <w:rPr>
                <w:rFonts w:ascii="Arial" w:eastAsia="Arial" w:hAnsi="Arial" w:cs="Arial"/>
                <w:b/>
                <w:sz w:val="24"/>
                <w:szCs w:val="24"/>
              </w:rPr>
            </w:pPr>
            <w:r>
              <w:rPr>
                <w:rFonts w:ascii="Arial" w:eastAsia="Arial" w:hAnsi="Arial" w:cs="Arial"/>
                <w:b/>
                <w:sz w:val="24"/>
                <w:szCs w:val="24"/>
              </w:rPr>
              <w:t>The Relevant Authority is Controller and the Supplier is Processor</w:t>
            </w:r>
          </w:p>
          <w:p w:rsidR="00EA7B78" w:rsidRDefault="001149DD">
            <w:pPr>
              <w:rPr>
                <w:rFonts w:ascii="Arial" w:eastAsia="Arial" w:hAnsi="Arial" w:cs="Arial"/>
                <w:sz w:val="24"/>
                <w:szCs w:val="24"/>
              </w:rPr>
            </w:pPr>
            <w:r>
              <w:rPr>
                <w:rFonts w:ascii="Arial" w:eastAsia="Arial" w:hAnsi="Arial" w:cs="Arial"/>
                <w:sz w:val="24"/>
                <w:szCs w:val="24"/>
              </w:rPr>
              <w:t>The Parties acknowledge that in accordance with paragraph 3 to paragraph 16 and for the purposes of the Data Protection Legislation</w:t>
            </w:r>
            <w:r>
              <w:rPr>
                <w:rFonts w:ascii="Arial" w:eastAsia="Arial" w:hAnsi="Arial" w:cs="Arial"/>
                <w:sz w:val="24"/>
                <w:szCs w:val="24"/>
              </w:rPr>
              <w:t>, the Relevant Authority is the Controller and the Supplier is the Processor of the following Personal Data:</w:t>
            </w:r>
          </w:p>
          <w:p w:rsidR="00EA7B78" w:rsidRDefault="00EA7B78">
            <w:pPr>
              <w:rPr>
                <w:rFonts w:ascii="Arial" w:eastAsia="Arial" w:hAnsi="Arial" w:cs="Arial"/>
                <w:sz w:val="24"/>
                <w:szCs w:val="24"/>
              </w:rPr>
            </w:pPr>
          </w:p>
          <w:p w:rsidR="00EA7B78" w:rsidRDefault="001149DD">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sz w:val="24"/>
                <w:szCs w:val="24"/>
              </w:rPr>
              <w:t xml:space="preserve">Name of Candidate(s), employment history, qualifications, right to work and security clearances and personal data to undertake compliance checks. </w:t>
            </w:r>
          </w:p>
          <w:p w:rsidR="00EA7B78" w:rsidRDefault="00EA7B78">
            <w:pPr>
              <w:spacing w:line="276" w:lineRule="auto"/>
              <w:ind w:left="720"/>
              <w:jc w:val="both"/>
              <w:rPr>
                <w:rFonts w:ascii="Arial" w:eastAsia="Arial" w:hAnsi="Arial" w:cs="Arial"/>
                <w:sz w:val="24"/>
                <w:szCs w:val="24"/>
              </w:rPr>
            </w:pPr>
          </w:p>
          <w:p w:rsidR="00EA7B78" w:rsidRDefault="001149DD">
            <w:pPr>
              <w:numPr>
                <w:ilvl w:val="0"/>
                <w:numId w:val="11"/>
              </w:numPr>
              <w:jc w:val="both"/>
              <w:rPr>
                <w:rFonts w:ascii="Arial" w:eastAsia="Arial" w:hAnsi="Arial" w:cs="Arial"/>
                <w:sz w:val="24"/>
                <w:szCs w:val="24"/>
              </w:rPr>
            </w:pPr>
            <w:r>
              <w:rPr>
                <w:rFonts w:ascii="Arial" w:eastAsia="Arial" w:hAnsi="Arial" w:cs="Arial"/>
                <w:sz w:val="24"/>
                <w:szCs w:val="24"/>
              </w:rPr>
              <w:t>Business contact details of Supplier and key contacts</w:t>
            </w:r>
          </w:p>
          <w:p w:rsidR="00EA7B78" w:rsidRDefault="00EA7B78">
            <w:pPr>
              <w:rPr>
                <w:rFonts w:ascii="Arial" w:eastAsia="Arial" w:hAnsi="Arial" w:cs="Arial"/>
                <w:sz w:val="24"/>
                <w:szCs w:val="24"/>
              </w:rPr>
            </w:pPr>
          </w:p>
          <w:p w:rsidR="00EA7B78" w:rsidRDefault="001149DD">
            <w:pPr>
              <w:rPr>
                <w:rFonts w:ascii="Arial" w:eastAsia="Arial" w:hAnsi="Arial" w:cs="Arial"/>
                <w:b/>
                <w:sz w:val="24"/>
                <w:szCs w:val="24"/>
              </w:rPr>
            </w:pPr>
            <w:r>
              <w:rPr>
                <w:rFonts w:ascii="Arial" w:eastAsia="Arial" w:hAnsi="Arial" w:cs="Arial"/>
                <w:b/>
                <w:sz w:val="24"/>
                <w:szCs w:val="24"/>
              </w:rPr>
              <w:t>The Supplier is Controller and the Relevant Authority is Processor</w:t>
            </w:r>
          </w:p>
          <w:p w:rsidR="00EA7B78" w:rsidRDefault="00EA7B78">
            <w:pPr>
              <w:rPr>
                <w:rFonts w:ascii="Arial" w:eastAsia="Arial" w:hAnsi="Arial" w:cs="Arial"/>
                <w:i/>
                <w:sz w:val="24"/>
                <w:szCs w:val="24"/>
              </w:rPr>
            </w:pPr>
          </w:p>
          <w:p w:rsidR="00EA7B78" w:rsidRDefault="001149DD">
            <w:pPr>
              <w:rPr>
                <w:rFonts w:ascii="Arial" w:eastAsia="Arial" w:hAnsi="Arial" w:cs="Arial"/>
                <w:i/>
                <w:sz w:val="24"/>
                <w:szCs w:val="24"/>
              </w:rPr>
            </w:pPr>
            <w:r>
              <w:rPr>
                <w:rFonts w:ascii="Arial" w:eastAsia="Arial" w:hAnsi="Arial" w:cs="Arial"/>
                <w:i/>
                <w:sz w:val="24"/>
                <w:szCs w:val="24"/>
              </w:rPr>
              <w:t xml:space="preserve">The Parties acknowledge that for the purposes of the Data Protection Legislation, the Supplier is the Controller and the Relevant Authority is the Processor in accordance with paragraph </w:t>
            </w:r>
            <w:r>
              <w:rPr>
                <w:rFonts w:ascii="Arial" w:eastAsia="Arial" w:hAnsi="Arial" w:cs="Arial"/>
                <w:sz w:val="24"/>
                <w:szCs w:val="24"/>
              </w:rPr>
              <w:t xml:space="preserve">3 </w:t>
            </w:r>
            <w:r>
              <w:rPr>
                <w:rFonts w:ascii="Arial" w:eastAsia="Arial" w:hAnsi="Arial" w:cs="Arial"/>
                <w:i/>
                <w:sz w:val="24"/>
                <w:szCs w:val="24"/>
              </w:rPr>
              <w:t>to paragraph 16</w:t>
            </w:r>
            <w:r>
              <w:rPr>
                <w:rFonts w:ascii="Arial" w:eastAsia="Arial" w:hAnsi="Arial" w:cs="Arial"/>
                <w:sz w:val="24"/>
                <w:szCs w:val="24"/>
              </w:rPr>
              <w:t xml:space="preserve"> </w:t>
            </w:r>
            <w:r>
              <w:rPr>
                <w:rFonts w:ascii="Arial" w:eastAsia="Arial" w:hAnsi="Arial" w:cs="Arial"/>
                <w:i/>
                <w:sz w:val="24"/>
                <w:szCs w:val="24"/>
              </w:rPr>
              <w:t>of the following Personal Data:</w:t>
            </w:r>
          </w:p>
          <w:p w:rsidR="00EA7B78" w:rsidRDefault="00EA7B78">
            <w:pPr>
              <w:rPr>
                <w:rFonts w:ascii="Arial" w:eastAsia="Arial" w:hAnsi="Arial" w:cs="Arial"/>
                <w:sz w:val="24"/>
                <w:szCs w:val="24"/>
              </w:rPr>
            </w:pPr>
          </w:p>
          <w:p w:rsidR="00EA7B78" w:rsidRDefault="001149DD">
            <w:pPr>
              <w:numPr>
                <w:ilvl w:val="0"/>
                <w:numId w:val="11"/>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[Insert</w:t>
            </w:r>
            <w:r>
              <w:rPr>
                <w:rFonts w:ascii="Arial" w:eastAsia="Arial" w:hAnsi="Arial" w:cs="Arial"/>
                <w:b/>
                <w:i/>
                <w:sz w:val="24"/>
                <w:szCs w:val="24"/>
              </w:rPr>
              <w:t xml:space="preserve"> </w:t>
            </w:r>
            <w:r>
              <w:rPr>
                <w:rFonts w:ascii="Arial" w:eastAsia="Arial" w:hAnsi="Arial" w:cs="Arial"/>
                <w:i/>
                <w:sz w:val="24"/>
                <w:szCs w:val="24"/>
              </w:rPr>
              <w:t>the scope o</w:t>
            </w:r>
            <w:r>
              <w:rPr>
                <w:rFonts w:ascii="Arial" w:eastAsia="Arial" w:hAnsi="Arial" w:cs="Arial"/>
                <w:i/>
                <w:sz w:val="24"/>
                <w:szCs w:val="24"/>
              </w:rPr>
              <w:t>f Personal Data which the purposes and means of the Processing by the Relevant Authority  is determined by the Supplier]</w:t>
            </w:r>
          </w:p>
          <w:p w:rsidR="00EA7B78" w:rsidRDefault="00EA7B78">
            <w:pPr>
              <w:rPr>
                <w:rFonts w:ascii="Arial" w:eastAsia="Arial" w:hAnsi="Arial" w:cs="Arial"/>
                <w:sz w:val="24"/>
                <w:szCs w:val="24"/>
                <w:highlight w:val="yellow"/>
              </w:rPr>
            </w:pPr>
          </w:p>
          <w:p w:rsidR="00EA7B78" w:rsidRDefault="001149DD">
            <w:pPr>
              <w:rPr>
                <w:rFonts w:ascii="Arial" w:eastAsia="Arial" w:hAnsi="Arial" w:cs="Arial"/>
                <w:b/>
                <w:sz w:val="24"/>
                <w:szCs w:val="24"/>
              </w:rPr>
            </w:pPr>
            <w:r>
              <w:rPr>
                <w:rFonts w:ascii="Arial" w:eastAsia="Arial" w:hAnsi="Arial" w:cs="Arial"/>
                <w:b/>
                <w:sz w:val="24"/>
                <w:szCs w:val="24"/>
              </w:rPr>
              <w:t>The Parties are Joint Controllers</w:t>
            </w:r>
          </w:p>
          <w:p w:rsidR="00EA7B78" w:rsidRDefault="00EA7B78">
            <w:pPr>
              <w:rPr>
                <w:rFonts w:ascii="Arial" w:eastAsia="Arial" w:hAnsi="Arial" w:cs="Arial"/>
                <w:i/>
                <w:sz w:val="24"/>
                <w:szCs w:val="24"/>
              </w:rPr>
            </w:pPr>
          </w:p>
          <w:p w:rsidR="00EA7B78" w:rsidRDefault="001149DD">
            <w:pPr>
              <w:rPr>
                <w:rFonts w:ascii="Arial" w:eastAsia="Arial" w:hAnsi="Arial" w:cs="Arial"/>
                <w:i/>
                <w:sz w:val="24"/>
                <w:szCs w:val="24"/>
              </w:rPr>
            </w:pPr>
            <w:r>
              <w:rPr>
                <w:rFonts w:ascii="Arial" w:eastAsia="Arial" w:hAnsi="Arial" w:cs="Arial"/>
                <w:i/>
                <w:sz w:val="24"/>
                <w:szCs w:val="24"/>
              </w:rPr>
              <w:t>The Parties acknowledge that they are Joint Controllers for the purposes of the Data Protection Leg</w:t>
            </w:r>
            <w:r>
              <w:rPr>
                <w:rFonts w:ascii="Arial" w:eastAsia="Arial" w:hAnsi="Arial" w:cs="Arial"/>
                <w:i/>
                <w:sz w:val="24"/>
                <w:szCs w:val="24"/>
              </w:rPr>
              <w:t>islation in respect of:</w:t>
            </w:r>
          </w:p>
          <w:p w:rsidR="00EA7B78" w:rsidRDefault="00EA7B78">
            <w:pPr>
              <w:rPr>
                <w:rFonts w:ascii="Arial" w:eastAsia="Arial" w:hAnsi="Arial" w:cs="Arial"/>
                <w:b/>
                <w:i/>
                <w:sz w:val="24"/>
                <w:szCs w:val="24"/>
                <w:highlight w:val="yellow"/>
              </w:rPr>
            </w:pPr>
          </w:p>
          <w:p w:rsidR="00EA7B78" w:rsidRDefault="001149DD">
            <w:pPr>
              <w:numPr>
                <w:ilvl w:val="0"/>
                <w:numId w:val="10"/>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lastRenderedPageBreak/>
              <w:t>[Insert</w:t>
            </w:r>
            <w:r>
              <w:rPr>
                <w:rFonts w:ascii="Arial" w:eastAsia="Arial" w:hAnsi="Arial" w:cs="Arial"/>
                <w:b/>
                <w:i/>
                <w:sz w:val="24"/>
                <w:szCs w:val="24"/>
              </w:rPr>
              <w:t xml:space="preserve"> </w:t>
            </w:r>
            <w:r>
              <w:rPr>
                <w:rFonts w:ascii="Arial" w:eastAsia="Arial" w:hAnsi="Arial" w:cs="Arial"/>
                <w:i/>
                <w:sz w:val="24"/>
                <w:szCs w:val="24"/>
              </w:rPr>
              <w:t>the scope of Personal Data which the purposes and means of the Processing is determined by the both Parties together]</w:t>
            </w:r>
          </w:p>
          <w:p w:rsidR="00EA7B78" w:rsidRDefault="00EA7B78">
            <w:pPr>
              <w:rPr>
                <w:rFonts w:ascii="Arial" w:eastAsia="Arial" w:hAnsi="Arial" w:cs="Arial"/>
                <w:i/>
                <w:sz w:val="24"/>
                <w:szCs w:val="24"/>
              </w:rPr>
            </w:pPr>
          </w:p>
          <w:p w:rsidR="00EA7B78" w:rsidRDefault="001149DD">
            <w:pPr>
              <w:rPr>
                <w:rFonts w:ascii="Arial" w:eastAsia="Arial" w:hAnsi="Arial" w:cs="Arial"/>
                <w:i/>
                <w:sz w:val="24"/>
                <w:szCs w:val="24"/>
              </w:rPr>
            </w:pPr>
            <w:r>
              <w:rPr>
                <w:rFonts w:ascii="Arial" w:eastAsia="Arial" w:hAnsi="Arial" w:cs="Arial"/>
                <w:i/>
                <w:sz w:val="24"/>
                <w:szCs w:val="24"/>
              </w:rPr>
              <w:t xml:space="preserve"> </w:t>
            </w:r>
          </w:p>
          <w:p w:rsidR="00EA7B78" w:rsidRDefault="001149DD">
            <w:pPr>
              <w:rPr>
                <w:rFonts w:ascii="Arial" w:eastAsia="Arial" w:hAnsi="Arial" w:cs="Arial"/>
                <w:b/>
                <w:sz w:val="24"/>
                <w:szCs w:val="24"/>
              </w:rPr>
            </w:pPr>
            <w:r>
              <w:rPr>
                <w:rFonts w:ascii="Arial" w:eastAsia="Arial" w:hAnsi="Arial" w:cs="Arial"/>
                <w:b/>
                <w:sz w:val="24"/>
                <w:szCs w:val="24"/>
              </w:rPr>
              <w:t>The Parties are Independent Controllers of Personal Data</w:t>
            </w:r>
          </w:p>
          <w:p w:rsidR="00EA7B78" w:rsidRDefault="00EA7B78">
            <w:pPr>
              <w:rPr>
                <w:rFonts w:ascii="Arial" w:eastAsia="Arial" w:hAnsi="Arial" w:cs="Arial"/>
                <w:b/>
                <w:i/>
                <w:sz w:val="24"/>
                <w:szCs w:val="24"/>
                <w:highlight w:val="yellow"/>
              </w:rPr>
            </w:pPr>
          </w:p>
          <w:p w:rsidR="00EA7B78" w:rsidRDefault="001149DD">
            <w:pPr>
              <w:rPr>
                <w:rFonts w:ascii="Arial" w:eastAsia="Arial" w:hAnsi="Arial" w:cs="Arial"/>
                <w:i/>
                <w:sz w:val="24"/>
                <w:szCs w:val="24"/>
              </w:rPr>
            </w:pPr>
            <w:r>
              <w:rPr>
                <w:rFonts w:ascii="Arial" w:eastAsia="Arial" w:hAnsi="Arial" w:cs="Arial"/>
                <w:i/>
                <w:sz w:val="24"/>
                <w:szCs w:val="24"/>
              </w:rPr>
              <w:t>The Parties acknowledge that they are Independent Controllers for the purposes of the Data Protection Legislation in respect of:</w:t>
            </w:r>
          </w:p>
          <w:p w:rsidR="00EA7B78" w:rsidRDefault="001149DD">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Supplier Personnel for which the Supplier is the Controller,</w:t>
            </w:r>
          </w:p>
          <w:p w:rsidR="00EA7B78" w:rsidRDefault="001149DD">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i/>
                <w:sz w:val="24"/>
                <w:szCs w:val="24"/>
              </w:rPr>
              <w:t>Business contact details of any</w:t>
            </w:r>
            <w:r>
              <w:rPr>
                <w:rFonts w:ascii="Arial" w:eastAsia="Arial" w:hAnsi="Arial" w:cs="Arial"/>
                <w:sz w:val="24"/>
                <w:szCs w:val="24"/>
              </w:rPr>
              <w:t xml:space="preserve"> </w:t>
            </w:r>
            <w:r>
              <w:rPr>
                <w:rFonts w:ascii="Arial" w:eastAsia="Arial" w:hAnsi="Arial" w:cs="Arial"/>
                <w:i/>
                <w:sz w:val="24"/>
                <w:szCs w:val="24"/>
              </w:rPr>
              <w:t>direct</w:t>
            </w:r>
            <w:r>
              <w:rPr>
                <w:rFonts w:ascii="Arial" w:eastAsia="Arial" w:hAnsi="Arial" w:cs="Arial"/>
                <w:i/>
                <w:sz w:val="24"/>
                <w:szCs w:val="24"/>
              </w:rPr>
              <w:t>ors, officers, employees, agents, consultants and contractors of Relevant Authority (excluding the Supplier Personnel) engaged in the performance of the Relevant Authority’s duties under the Contract) for which the Relevant Authority is the Controller,</w:t>
            </w:r>
          </w:p>
          <w:p w:rsidR="00EA7B78" w:rsidRDefault="001149DD">
            <w:pPr>
              <w:numPr>
                <w:ilvl w:val="0"/>
                <w:numId w:val="6"/>
              </w:numPr>
              <w:pBdr>
                <w:top w:val="nil"/>
                <w:left w:val="nil"/>
                <w:bottom w:val="nil"/>
                <w:right w:val="nil"/>
                <w:between w:val="nil"/>
              </w:pBdr>
              <w:jc w:val="both"/>
              <w:rPr>
                <w:rFonts w:ascii="Arial" w:eastAsia="Arial" w:hAnsi="Arial" w:cs="Arial"/>
                <w:i/>
                <w:sz w:val="24"/>
                <w:szCs w:val="24"/>
              </w:rPr>
            </w:pPr>
            <w:r>
              <w:rPr>
                <w:rFonts w:ascii="Arial" w:eastAsia="Arial" w:hAnsi="Arial" w:cs="Arial"/>
                <w:b/>
                <w:i/>
                <w:sz w:val="24"/>
                <w:szCs w:val="24"/>
                <w:highlight w:val="yellow"/>
              </w:rPr>
              <w:t>[In</w:t>
            </w:r>
            <w:r>
              <w:rPr>
                <w:rFonts w:ascii="Arial" w:eastAsia="Arial" w:hAnsi="Arial" w:cs="Arial"/>
                <w:b/>
                <w:i/>
                <w:sz w:val="24"/>
                <w:szCs w:val="24"/>
                <w:highlight w:val="yellow"/>
              </w:rPr>
              <w:t>sert</w:t>
            </w:r>
            <w:r>
              <w:rPr>
                <w:rFonts w:ascii="Arial" w:eastAsia="Arial" w:hAnsi="Arial" w:cs="Arial"/>
                <w:b/>
                <w:i/>
                <w:sz w:val="24"/>
                <w:szCs w:val="24"/>
              </w:rPr>
              <w:t xml:space="preserve"> </w:t>
            </w:r>
            <w:r>
              <w:rPr>
                <w:rFonts w:ascii="Arial" w:eastAsia="Arial" w:hAnsi="Arial" w:cs="Arial"/>
                <w:i/>
                <w:sz w:val="24"/>
                <w:szCs w:val="24"/>
              </w:rPr>
              <w:t>the scope of other Personal Data provided by one Party who is Controller to the other Party who will separately determine the nature and purposes of its Processing the Personal Data on receipt e.g. where (1) the Supplier has professional or regulatory</w:t>
            </w:r>
            <w:r>
              <w:rPr>
                <w:rFonts w:ascii="Arial" w:eastAsia="Arial" w:hAnsi="Arial" w:cs="Arial"/>
                <w:i/>
                <w:sz w:val="24"/>
                <w:szCs w:val="24"/>
              </w:rPr>
              <w:t xml:space="preserve"> obligations in respect of Personal Data received, (2) a standardised service is such that the Relevant Authority cannot dictate the way in which Personal Data is processed by the Supplier, or (3) where the  Supplier comes to the transaction with Personal </w:t>
            </w:r>
            <w:r>
              <w:rPr>
                <w:rFonts w:ascii="Arial" w:eastAsia="Arial" w:hAnsi="Arial" w:cs="Arial"/>
                <w:i/>
                <w:sz w:val="24"/>
                <w:szCs w:val="24"/>
              </w:rPr>
              <w:t xml:space="preserve">Data for which it is already Controller for use by the Relevant Authority] </w:t>
            </w:r>
          </w:p>
          <w:p w:rsidR="00EA7B78" w:rsidRDefault="001149DD">
            <w:pPr>
              <w:rPr>
                <w:rFonts w:ascii="Arial" w:eastAsia="Arial" w:hAnsi="Arial" w:cs="Arial"/>
                <w:i/>
                <w:sz w:val="24"/>
                <w:szCs w:val="24"/>
              </w:rPr>
            </w:pPr>
            <w:r>
              <w:rPr>
                <w:rFonts w:ascii="Arial" w:eastAsia="Arial" w:hAnsi="Arial" w:cs="Arial"/>
                <w:i/>
                <w:sz w:val="24"/>
                <w:szCs w:val="24"/>
              </w:rPr>
              <w:t xml:space="preserve"> </w:t>
            </w:r>
          </w:p>
          <w:p w:rsidR="00EA7B78" w:rsidRDefault="001149DD">
            <w:pPr>
              <w:rPr>
                <w:rFonts w:ascii="Arial" w:eastAsia="Arial" w:hAnsi="Arial" w:cs="Arial"/>
                <w:i/>
                <w:sz w:val="24"/>
                <w:szCs w:val="24"/>
              </w:rPr>
            </w:pPr>
            <w:r>
              <w:rPr>
                <w:rFonts w:ascii="Arial" w:eastAsia="Arial" w:hAnsi="Arial" w:cs="Arial"/>
                <w:b/>
                <w:i/>
                <w:sz w:val="24"/>
                <w:szCs w:val="24"/>
                <w:highlight w:val="yellow"/>
              </w:rPr>
              <w:t>[Guidance</w:t>
            </w:r>
            <w:r>
              <w:rPr>
                <w:rFonts w:ascii="Arial" w:eastAsia="Arial" w:hAnsi="Arial" w:cs="Arial"/>
                <w:b/>
                <w:i/>
                <w:sz w:val="24"/>
                <w:szCs w:val="24"/>
              </w:rPr>
              <w:t xml:space="preserve"> </w:t>
            </w:r>
            <w:r>
              <w:rPr>
                <w:rFonts w:ascii="Arial" w:eastAsia="Arial" w:hAnsi="Arial" w:cs="Arial"/>
                <w:i/>
                <w:sz w:val="24"/>
                <w:szCs w:val="24"/>
              </w:rPr>
              <w:t xml:space="preserve">where multiple relationships have been identified above, please address the below rows in the table for in respect of each relationship identified] </w:t>
            </w:r>
          </w:p>
          <w:p w:rsidR="00EA7B78" w:rsidRDefault="00EA7B78">
            <w:pPr>
              <w:rPr>
                <w:rFonts w:ascii="Arial" w:eastAsia="Arial" w:hAnsi="Arial" w:cs="Arial"/>
                <w:sz w:val="24"/>
                <w:szCs w:val="24"/>
              </w:rPr>
            </w:pPr>
          </w:p>
        </w:tc>
      </w:tr>
      <w:tr w:rsidR="00EA7B78">
        <w:trPr>
          <w:trHeight w:val="1460"/>
        </w:trPr>
        <w:tc>
          <w:tcPr>
            <w:tcW w:w="2263" w:type="dxa"/>
            <w:shd w:val="clear" w:color="auto" w:fill="auto"/>
          </w:tcPr>
          <w:p w:rsidR="00EA7B78" w:rsidRDefault="001149DD">
            <w:pPr>
              <w:rPr>
                <w:rFonts w:ascii="Arial" w:eastAsia="Arial" w:hAnsi="Arial" w:cs="Arial"/>
                <w:sz w:val="24"/>
                <w:szCs w:val="24"/>
              </w:rPr>
            </w:pPr>
            <w:r>
              <w:rPr>
                <w:rFonts w:ascii="Arial" w:eastAsia="Arial" w:hAnsi="Arial" w:cs="Arial"/>
                <w:sz w:val="24"/>
                <w:szCs w:val="24"/>
              </w:rPr>
              <w:lastRenderedPageBreak/>
              <w:t>Duration of the Processing</w:t>
            </w:r>
          </w:p>
        </w:tc>
        <w:tc>
          <w:tcPr>
            <w:tcW w:w="7423" w:type="dxa"/>
            <w:shd w:val="clear" w:color="auto" w:fill="auto"/>
          </w:tcPr>
          <w:p w:rsidR="00EA7B78" w:rsidRDefault="001149DD">
            <w:pPr>
              <w:spacing w:before="240" w:after="240"/>
              <w:rPr>
                <w:rFonts w:ascii="Arial" w:eastAsia="Arial" w:hAnsi="Arial" w:cs="Arial"/>
                <w:sz w:val="24"/>
                <w:szCs w:val="24"/>
              </w:rPr>
            </w:pPr>
            <w:r>
              <w:rPr>
                <w:rFonts w:ascii="Arial" w:eastAsia="Arial" w:hAnsi="Arial" w:cs="Arial"/>
                <w:sz w:val="24"/>
                <w:szCs w:val="24"/>
              </w:rPr>
              <w:t>From award until expiry of al</w:t>
            </w:r>
            <w:r w:rsidR="002C4C15">
              <w:rPr>
                <w:rFonts w:ascii="Arial" w:eastAsia="Arial" w:hAnsi="Arial" w:cs="Arial"/>
                <w:sz w:val="24"/>
                <w:szCs w:val="24"/>
              </w:rPr>
              <w:t>l Call Off Contracts under RM62</w:t>
            </w:r>
            <w:r>
              <w:rPr>
                <w:rFonts w:ascii="Arial" w:eastAsia="Arial" w:hAnsi="Arial" w:cs="Arial"/>
                <w:sz w:val="24"/>
                <w:szCs w:val="24"/>
              </w:rPr>
              <w:t>9</w:t>
            </w:r>
            <w:r w:rsidR="002C4C15">
              <w:rPr>
                <w:rFonts w:ascii="Arial" w:eastAsia="Arial" w:hAnsi="Arial" w:cs="Arial"/>
                <w:sz w:val="24"/>
                <w:szCs w:val="24"/>
              </w:rPr>
              <w:t>0</w:t>
            </w:r>
            <w:r>
              <w:rPr>
                <w:rFonts w:ascii="Arial" w:eastAsia="Arial" w:hAnsi="Arial" w:cs="Arial"/>
                <w:sz w:val="24"/>
                <w:szCs w:val="24"/>
              </w:rPr>
              <w:t>.</w:t>
            </w:r>
          </w:p>
        </w:tc>
      </w:tr>
      <w:tr w:rsidR="00EA7B78">
        <w:trPr>
          <w:trHeight w:val="1520"/>
        </w:trPr>
        <w:tc>
          <w:tcPr>
            <w:tcW w:w="2263" w:type="dxa"/>
            <w:shd w:val="clear" w:color="auto" w:fill="auto"/>
          </w:tcPr>
          <w:p w:rsidR="00EA7B78" w:rsidRDefault="001149DD">
            <w:pPr>
              <w:rPr>
                <w:rFonts w:ascii="Arial" w:eastAsia="Arial" w:hAnsi="Arial" w:cs="Arial"/>
                <w:sz w:val="24"/>
                <w:szCs w:val="24"/>
              </w:rPr>
            </w:pPr>
            <w:r>
              <w:rPr>
                <w:rFonts w:ascii="Arial" w:eastAsia="Arial" w:hAnsi="Arial" w:cs="Arial"/>
                <w:sz w:val="24"/>
                <w:szCs w:val="24"/>
              </w:rPr>
              <w:t>Nature and purposes of the Processing</w:t>
            </w:r>
          </w:p>
        </w:tc>
        <w:tc>
          <w:tcPr>
            <w:tcW w:w="7423" w:type="dxa"/>
            <w:shd w:val="clear" w:color="auto" w:fill="auto"/>
          </w:tcPr>
          <w:p w:rsidR="00EA7B78" w:rsidRDefault="001149DD">
            <w:pPr>
              <w:rPr>
                <w:rFonts w:ascii="Arial" w:eastAsia="Arial" w:hAnsi="Arial" w:cs="Arial"/>
                <w:sz w:val="24"/>
                <w:szCs w:val="24"/>
              </w:rPr>
            </w:pPr>
            <w:r>
              <w:rPr>
                <w:rFonts w:ascii="Arial" w:eastAsia="Arial" w:hAnsi="Arial" w:cs="Arial"/>
                <w:sz w:val="24"/>
                <w:szCs w:val="24"/>
              </w:rPr>
              <w:t>Managing the obligations under the Framework Agreement, including exit management, and other associated activities.</w:t>
            </w:r>
          </w:p>
          <w:p w:rsidR="00EA7B78" w:rsidRDefault="001149DD">
            <w:pPr>
              <w:spacing w:before="240" w:after="240"/>
              <w:rPr>
                <w:rFonts w:ascii="Arial" w:eastAsia="Arial" w:hAnsi="Arial" w:cs="Arial"/>
                <w:i/>
                <w:sz w:val="24"/>
                <w:szCs w:val="24"/>
              </w:rPr>
            </w:pPr>
            <w:r>
              <w:rPr>
                <w:rFonts w:ascii="Arial" w:eastAsia="Arial" w:hAnsi="Arial" w:cs="Arial"/>
                <w:sz w:val="24"/>
                <w:szCs w:val="24"/>
              </w:rPr>
              <w:t>This infor</w:t>
            </w:r>
            <w:r>
              <w:rPr>
                <w:rFonts w:ascii="Arial" w:eastAsia="Arial" w:hAnsi="Arial" w:cs="Arial"/>
                <w:sz w:val="24"/>
                <w:szCs w:val="24"/>
              </w:rPr>
              <w:t xml:space="preserve">mation may be shared with the Authority to enable compliance checks on the Supplier to be undertaken. This information will be shared digitally in a secure manner. </w:t>
            </w:r>
          </w:p>
        </w:tc>
      </w:tr>
      <w:tr w:rsidR="00EA7B78">
        <w:trPr>
          <w:trHeight w:val="1400"/>
        </w:trPr>
        <w:tc>
          <w:tcPr>
            <w:tcW w:w="2263" w:type="dxa"/>
            <w:shd w:val="clear" w:color="auto" w:fill="auto"/>
          </w:tcPr>
          <w:p w:rsidR="00EA7B78" w:rsidRDefault="001149DD">
            <w:pPr>
              <w:rPr>
                <w:rFonts w:ascii="Arial" w:eastAsia="Arial" w:hAnsi="Arial" w:cs="Arial"/>
                <w:sz w:val="24"/>
                <w:szCs w:val="24"/>
              </w:rPr>
            </w:pPr>
            <w:r>
              <w:rPr>
                <w:rFonts w:ascii="Arial" w:eastAsia="Arial" w:hAnsi="Arial" w:cs="Arial"/>
                <w:sz w:val="24"/>
                <w:szCs w:val="24"/>
              </w:rPr>
              <w:t>Type of Personal Data</w:t>
            </w:r>
          </w:p>
        </w:tc>
        <w:tc>
          <w:tcPr>
            <w:tcW w:w="7423" w:type="dxa"/>
            <w:shd w:val="clear" w:color="auto" w:fill="auto"/>
          </w:tcPr>
          <w:p w:rsidR="00EA7B78" w:rsidRDefault="001149DD">
            <w:pPr>
              <w:rPr>
                <w:rFonts w:ascii="Arial" w:eastAsia="Arial" w:hAnsi="Arial" w:cs="Arial"/>
                <w:b/>
                <w:i/>
                <w:sz w:val="24"/>
                <w:szCs w:val="24"/>
              </w:rPr>
            </w:pPr>
            <w:r>
              <w:rPr>
                <w:rFonts w:ascii="Arial" w:eastAsia="Arial" w:hAnsi="Arial" w:cs="Arial"/>
                <w:b/>
                <w:i/>
                <w:sz w:val="24"/>
                <w:szCs w:val="24"/>
              </w:rPr>
              <w:t>All Data Subjects</w:t>
            </w:r>
          </w:p>
          <w:p w:rsidR="00EA7B78" w:rsidRDefault="001149DD">
            <w:pPr>
              <w:rPr>
                <w:rFonts w:ascii="Arial" w:eastAsia="Arial" w:hAnsi="Arial" w:cs="Arial"/>
                <w:i/>
                <w:sz w:val="24"/>
                <w:szCs w:val="24"/>
              </w:rPr>
            </w:pPr>
            <w:r>
              <w:rPr>
                <w:rFonts w:ascii="Arial" w:eastAsia="Arial" w:hAnsi="Arial" w:cs="Arial"/>
                <w:i/>
                <w:sz w:val="24"/>
                <w:szCs w:val="24"/>
              </w:rPr>
              <w:t xml:space="preserve">As following, but not limited to: </w:t>
            </w:r>
          </w:p>
          <w:p w:rsidR="00EA7B78" w:rsidRDefault="001149DD">
            <w:pPr>
              <w:rPr>
                <w:rFonts w:ascii="Arial" w:eastAsia="Arial" w:hAnsi="Arial" w:cs="Arial"/>
                <w:i/>
                <w:sz w:val="24"/>
                <w:szCs w:val="24"/>
              </w:rPr>
            </w:pPr>
            <w:r>
              <w:rPr>
                <w:rFonts w:ascii="Arial" w:eastAsia="Arial" w:hAnsi="Arial" w:cs="Arial"/>
                <w:i/>
                <w:sz w:val="24"/>
                <w:szCs w:val="24"/>
              </w:rPr>
              <w:t>Full name, Workplace address, Workplace Phone Number, Workplace email address, Names, Job Title, Compensation, Tenure Information, Qualifications or Certifications, Nationality, Education &amp; training history, Previous work history, Personal Interests, Refer</w:t>
            </w:r>
            <w:r>
              <w:rPr>
                <w:rFonts w:ascii="Arial" w:eastAsia="Arial" w:hAnsi="Arial" w:cs="Arial"/>
                <w:i/>
                <w:sz w:val="24"/>
                <w:szCs w:val="24"/>
              </w:rPr>
              <w:t xml:space="preserve">ences and referee details, Driving license details, </w:t>
            </w:r>
            <w:r>
              <w:rPr>
                <w:rFonts w:ascii="Arial" w:eastAsia="Arial" w:hAnsi="Arial" w:cs="Arial"/>
                <w:i/>
                <w:sz w:val="24"/>
                <w:szCs w:val="24"/>
              </w:rPr>
              <w:lastRenderedPageBreak/>
              <w:t>National insurance number, Bank statements, Utility bills, Job title or role</w:t>
            </w:r>
          </w:p>
          <w:p w:rsidR="00EA7B78" w:rsidRDefault="001149DD">
            <w:pPr>
              <w:rPr>
                <w:rFonts w:ascii="Arial" w:eastAsia="Arial" w:hAnsi="Arial" w:cs="Arial"/>
                <w:i/>
                <w:sz w:val="24"/>
                <w:szCs w:val="24"/>
              </w:rPr>
            </w:pPr>
            <w:r>
              <w:rPr>
                <w:rFonts w:ascii="Arial" w:eastAsia="Arial" w:hAnsi="Arial" w:cs="Arial"/>
                <w:i/>
                <w:sz w:val="24"/>
                <w:szCs w:val="24"/>
              </w:rPr>
              <w:t>Job application details, Start date, End date &amp; reason for termination, Contract type, Compensation data, Photographic Facial I</w:t>
            </w:r>
            <w:r>
              <w:rPr>
                <w:rFonts w:ascii="Arial" w:eastAsia="Arial" w:hAnsi="Arial" w:cs="Arial"/>
                <w:i/>
                <w:sz w:val="24"/>
                <w:szCs w:val="24"/>
              </w:rPr>
              <w:t xml:space="preserve">mage, Biometric data, Birth certificates, IP Address, </w:t>
            </w:r>
          </w:p>
          <w:p w:rsidR="00EA7B78" w:rsidRDefault="001149DD">
            <w:pPr>
              <w:rPr>
                <w:rFonts w:ascii="Arial" w:eastAsia="Arial" w:hAnsi="Arial" w:cs="Arial"/>
                <w:i/>
                <w:sz w:val="24"/>
                <w:szCs w:val="24"/>
              </w:rPr>
            </w:pPr>
            <w:r>
              <w:rPr>
                <w:rFonts w:ascii="Arial" w:eastAsia="Arial" w:hAnsi="Arial" w:cs="Arial"/>
                <w:i/>
                <w:sz w:val="24"/>
                <w:szCs w:val="24"/>
              </w:rPr>
              <w:t>Details of physical and psychological health or medical condition</w:t>
            </w:r>
          </w:p>
          <w:p w:rsidR="00EA7B78" w:rsidRDefault="001149DD">
            <w:pPr>
              <w:rPr>
                <w:rFonts w:ascii="Arial" w:eastAsia="Arial" w:hAnsi="Arial" w:cs="Arial"/>
                <w:i/>
                <w:sz w:val="24"/>
                <w:szCs w:val="24"/>
              </w:rPr>
            </w:pPr>
            <w:r>
              <w:rPr>
                <w:rFonts w:ascii="Arial" w:eastAsia="Arial" w:hAnsi="Arial" w:cs="Arial"/>
                <w:i/>
                <w:sz w:val="24"/>
                <w:szCs w:val="24"/>
              </w:rPr>
              <w:t>Next of kin &amp; emergency contact details, Record of absence, time tracking &amp; annual leave</w:t>
            </w:r>
          </w:p>
          <w:p w:rsidR="00EA7B78" w:rsidRDefault="00EA7B78">
            <w:pPr>
              <w:rPr>
                <w:rFonts w:ascii="Arial" w:eastAsia="Arial" w:hAnsi="Arial" w:cs="Arial"/>
                <w:i/>
                <w:sz w:val="24"/>
                <w:szCs w:val="24"/>
              </w:rPr>
            </w:pPr>
          </w:p>
        </w:tc>
        <w:bookmarkStart w:id="15" w:name="_GoBack"/>
        <w:bookmarkEnd w:id="15"/>
      </w:tr>
      <w:tr w:rsidR="00EA7B78">
        <w:trPr>
          <w:trHeight w:val="1560"/>
        </w:trPr>
        <w:tc>
          <w:tcPr>
            <w:tcW w:w="2263" w:type="dxa"/>
            <w:shd w:val="clear" w:color="auto" w:fill="auto"/>
          </w:tcPr>
          <w:p w:rsidR="00EA7B78" w:rsidRDefault="001149DD">
            <w:pPr>
              <w:rPr>
                <w:rFonts w:ascii="Arial" w:eastAsia="Arial" w:hAnsi="Arial" w:cs="Arial"/>
                <w:sz w:val="24"/>
                <w:szCs w:val="24"/>
              </w:rPr>
            </w:pPr>
            <w:r>
              <w:rPr>
                <w:rFonts w:ascii="Arial" w:eastAsia="Arial" w:hAnsi="Arial" w:cs="Arial"/>
                <w:sz w:val="24"/>
                <w:szCs w:val="24"/>
              </w:rPr>
              <w:lastRenderedPageBreak/>
              <w:t>Categories of Data Subject</w:t>
            </w:r>
          </w:p>
        </w:tc>
        <w:tc>
          <w:tcPr>
            <w:tcW w:w="7423" w:type="dxa"/>
            <w:shd w:val="clear" w:color="auto" w:fill="auto"/>
          </w:tcPr>
          <w:p w:rsidR="00EA7B78" w:rsidRDefault="001149DD">
            <w:pPr>
              <w:spacing w:before="240" w:after="240"/>
              <w:rPr>
                <w:rFonts w:ascii="Arial" w:eastAsia="Arial" w:hAnsi="Arial" w:cs="Arial"/>
                <w:sz w:val="24"/>
                <w:szCs w:val="24"/>
              </w:rPr>
            </w:pPr>
            <w:r>
              <w:rPr>
                <w:rFonts w:ascii="Arial" w:eastAsia="Arial" w:hAnsi="Arial" w:cs="Arial"/>
                <w:sz w:val="24"/>
                <w:szCs w:val="24"/>
              </w:rPr>
              <w:t>Data Subjects may include:</w:t>
            </w:r>
          </w:p>
          <w:p w:rsidR="00EA7B78" w:rsidRDefault="00114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Staff (employees) and Contracted Employee</w:t>
            </w:r>
          </w:p>
          <w:p w:rsidR="00EA7B78" w:rsidRDefault="00114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Self Employed Contractors</w:t>
            </w:r>
          </w:p>
          <w:p w:rsidR="00EA7B78" w:rsidRDefault="001149DD">
            <w:pPr>
              <w:ind w:left="720"/>
              <w:rPr>
                <w:rFonts w:ascii="Arial" w:eastAsia="Arial" w:hAnsi="Arial" w:cs="Arial"/>
                <w:sz w:val="24"/>
                <w:szCs w:val="24"/>
              </w:rPr>
            </w:pPr>
            <w:r>
              <w:rPr>
                <w:rFonts w:ascii="Arial" w:eastAsia="Arial" w:hAnsi="Arial" w:cs="Arial"/>
                <w:sz w:val="24"/>
                <w:szCs w:val="24"/>
              </w:rPr>
              <w:t>●</w:t>
            </w:r>
            <w:r>
              <w:rPr>
                <w:rFonts w:ascii="Arial" w:eastAsia="Arial" w:hAnsi="Arial" w:cs="Arial"/>
                <w:sz w:val="24"/>
                <w:szCs w:val="24"/>
              </w:rPr>
              <w:tab/>
              <w:t>Customers/Clients</w:t>
            </w:r>
          </w:p>
          <w:p w:rsidR="00EA7B78" w:rsidRDefault="001149DD">
            <w:pPr>
              <w:ind w:left="720"/>
              <w:rPr>
                <w:rFonts w:ascii="Arial" w:eastAsia="Arial" w:hAnsi="Arial" w:cs="Arial"/>
                <w:i/>
                <w:sz w:val="24"/>
                <w:szCs w:val="24"/>
              </w:rPr>
            </w:pPr>
            <w:r>
              <w:rPr>
                <w:rFonts w:ascii="Arial" w:eastAsia="Arial" w:hAnsi="Arial" w:cs="Arial"/>
                <w:sz w:val="24"/>
                <w:szCs w:val="24"/>
              </w:rPr>
              <w:t>●</w:t>
            </w:r>
            <w:r>
              <w:rPr>
                <w:rFonts w:ascii="Arial" w:eastAsia="Arial" w:hAnsi="Arial" w:cs="Arial"/>
                <w:sz w:val="24"/>
                <w:szCs w:val="24"/>
              </w:rPr>
              <w:tab/>
              <w:t>Suppliers</w:t>
            </w:r>
          </w:p>
        </w:tc>
      </w:tr>
      <w:tr w:rsidR="00EA7B78">
        <w:trPr>
          <w:trHeight w:val="1660"/>
        </w:trPr>
        <w:tc>
          <w:tcPr>
            <w:tcW w:w="2263" w:type="dxa"/>
            <w:shd w:val="clear" w:color="auto" w:fill="auto"/>
          </w:tcPr>
          <w:p w:rsidR="00EA7B78" w:rsidRDefault="001149DD">
            <w:pPr>
              <w:rPr>
                <w:rFonts w:ascii="Arial" w:eastAsia="Arial" w:hAnsi="Arial" w:cs="Arial"/>
                <w:sz w:val="24"/>
                <w:szCs w:val="24"/>
              </w:rPr>
            </w:pPr>
            <w:r>
              <w:rPr>
                <w:rFonts w:ascii="Arial" w:eastAsia="Arial" w:hAnsi="Arial" w:cs="Arial"/>
                <w:sz w:val="24"/>
                <w:szCs w:val="24"/>
              </w:rPr>
              <w:t>Plan for return and destruction of the data once the Processing is complete</w:t>
            </w:r>
          </w:p>
          <w:p w:rsidR="00EA7B78" w:rsidRDefault="001149DD">
            <w:pPr>
              <w:rPr>
                <w:rFonts w:ascii="Arial" w:eastAsia="Arial" w:hAnsi="Arial" w:cs="Arial"/>
                <w:sz w:val="24"/>
                <w:szCs w:val="24"/>
              </w:rPr>
            </w:pPr>
            <w:r>
              <w:rPr>
                <w:rFonts w:ascii="Arial" w:eastAsia="Arial" w:hAnsi="Arial" w:cs="Arial"/>
                <w:sz w:val="24"/>
                <w:szCs w:val="24"/>
              </w:rPr>
              <w:t>UNLESS requirement under Union or Member State l</w:t>
            </w:r>
            <w:r>
              <w:rPr>
                <w:rFonts w:ascii="Arial" w:eastAsia="Arial" w:hAnsi="Arial" w:cs="Arial"/>
                <w:sz w:val="24"/>
                <w:szCs w:val="24"/>
              </w:rPr>
              <w:t>aw to preserve that type of data</w:t>
            </w:r>
          </w:p>
        </w:tc>
        <w:tc>
          <w:tcPr>
            <w:tcW w:w="7423" w:type="dxa"/>
            <w:shd w:val="clear" w:color="auto" w:fill="auto"/>
          </w:tcPr>
          <w:p w:rsidR="00EA7B78" w:rsidRDefault="001149DD">
            <w:pPr>
              <w:spacing w:before="240" w:after="240"/>
              <w:rPr>
                <w:rFonts w:ascii="Arial" w:eastAsia="Arial" w:hAnsi="Arial" w:cs="Arial"/>
                <w:sz w:val="24"/>
                <w:szCs w:val="24"/>
              </w:rPr>
            </w:pPr>
            <w:r>
              <w:rPr>
                <w:rFonts w:ascii="Arial" w:eastAsia="Arial" w:hAnsi="Arial" w:cs="Arial"/>
                <w:sz w:val="24"/>
                <w:szCs w:val="24"/>
              </w:rPr>
              <w:t>The Supplier must retain and store securely any data in relation to a Call Off Contract for a minimum of 7 years after the expiry of the agreement. Once this period has ended the Supplier must destroy any data stored in lin</w:t>
            </w:r>
            <w:r>
              <w:rPr>
                <w:rFonts w:ascii="Arial" w:eastAsia="Arial" w:hAnsi="Arial" w:cs="Arial"/>
                <w:sz w:val="24"/>
                <w:szCs w:val="24"/>
              </w:rPr>
              <w:t>e with 10.5 of the Core Terms.</w:t>
            </w:r>
          </w:p>
        </w:tc>
      </w:tr>
    </w:tbl>
    <w:p w:rsidR="00EA7B78" w:rsidRDefault="00EA7B78">
      <w:pPr>
        <w:rPr>
          <w:rFonts w:ascii="Arial" w:eastAsia="Arial" w:hAnsi="Arial" w:cs="Arial"/>
          <w:b/>
          <w:sz w:val="24"/>
          <w:szCs w:val="24"/>
        </w:rPr>
      </w:pPr>
    </w:p>
    <w:p w:rsidR="00EA7B78" w:rsidRDefault="001149DD">
      <w:pPr>
        <w:rPr>
          <w:rFonts w:ascii="Arial" w:eastAsia="Arial" w:hAnsi="Arial" w:cs="Arial"/>
          <w:b/>
          <w:sz w:val="24"/>
          <w:szCs w:val="24"/>
        </w:rPr>
      </w:pPr>
      <w:r>
        <w:br w:type="page"/>
      </w:r>
    </w:p>
    <w:p w:rsidR="00EA7B78" w:rsidRDefault="001149DD">
      <w:pPr>
        <w:rPr>
          <w:rFonts w:ascii="Arial" w:eastAsia="Arial" w:hAnsi="Arial" w:cs="Arial"/>
          <w:sz w:val="24"/>
          <w:szCs w:val="24"/>
        </w:rPr>
      </w:pPr>
      <w:r>
        <w:rPr>
          <w:rFonts w:ascii="Arial" w:eastAsia="Arial" w:hAnsi="Arial" w:cs="Arial"/>
          <w:b/>
          <w:sz w:val="24"/>
          <w:szCs w:val="24"/>
        </w:rPr>
        <w:lastRenderedPageBreak/>
        <w:t>Annex 2 - Joint Controller Agreement</w:t>
      </w:r>
    </w:p>
    <w:p w:rsidR="00EA7B78" w:rsidRDefault="001149DD">
      <w:pPr>
        <w:keepNext/>
        <w:rPr>
          <w:rFonts w:ascii="Arial" w:eastAsia="Arial" w:hAnsi="Arial" w:cs="Arial"/>
          <w:b/>
          <w:sz w:val="24"/>
          <w:szCs w:val="24"/>
        </w:rPr>
      </w:pPr>
      <w:r>
        <w:rPr>
          <w:rFonts w:ascii="Arial" w:eastAsia="Arial" w:hAnsi="Arial" w:cs="Arial"/>
          <w:b/>
          <w:sz w:val="24"/>
          <w:szCs w:val="24"/>
        </w:rPr>
        <w:t xml:space="preserve">1. Joint Controller Status and Allocation of Responsibilities </w:t>
      </w:r>
    </w:p>
    <w:p w:rsidR="00EA7B78" w:rsidRDefault="001149DD">
      <w:pPr>
        <w:keepNext/>
        <w:rPr>
          <w:rFonts w:ascii="Arial" w:eastAsia="Arial" w:hAnsi="Arial" w:cs="Arial"/>
          <w:sz w:val="24"/>
          <w:szCs w:val="24"/>
        </w:rPr>
      </w:pPr>
      <w:bookmarkStart w:id="16" w:name="_heading=h.gjdgxs" w:colFirst="0" w:colLast="0"/>
      <w:bookmarkEnd w:id="16"/>
      <w:r>
        <w:rPr>
          <w:rFonts w:ascii="Arial" w:eastAsia="Arial" w:hAnsi="Arial" w:cs="Arial"/>
          <w:sz w:val="24"/>
          <w:szCs w:val="24"/>
        </w:rPr>
        <w:t>1.1</w:t>
      </w:r>
      <w:r>
        <w:rPr>
          <w:rFonts w:ascii="Arial" w:eastAsia="Arial" w:hAnsi="Arial" w:cs="Arial"/>
          <w:sz w:val="24"/>
          <w:szCs w:val="24"/>
        </w:rPr>
        <w:tab/>
      </w:r>
      <w:r>
        <w:rPr>
          <w:rFonts w:ascii="Arial" w:eastAsia="Arial" w:hAnsi="Arial" w:cs="Arial"/>
          <w:sz w:val="24"/>
          <w:szCs w:val="24"/>
        </w:rPr>
        <w:t>With respect to Personal Data under Joint Control of the Parties, the Parties envisage that they shall each be a Data Controller in respect of that Personal Data in accordance with the terms of this Annex 2 (Joint Controller Agreement) in replacement of pa</w:t>
      </w:r>
      <w:r>
        <w:rPr>
          <w:rFonts w:ascii="Arial" w:eastAsia="Arial" w:hAnsi="Arial" w:cs="Arial"/>
          <w:sz w:val="24"/>
          <w:szCs w:val="24"/>
        </w:rPr>
        <w:t xml:space="preserve">ragraphs 3-16 of Joint Schedule 11 (Where one Party is Controller and the other Party is Processor) and paragraphs 18-28 of Joint Schedule 11 (Independent Controllers of Personal Data). Accordingly, the Parties each undertake to comply with the applicable </w:t>
      </w:r>
      <w:r>
        <w:rPr>
          <w:rFonts w:ascii="Arial" w:eastAsia="Arial" w:hAnsi="Arial" w:cs="Arial"/>
          <w:sz w:val="24"/>
          <w:szCs w:val="24"/>
        </w:rPr>
        <w:t xml:space="preserve">Data Protection Legislation in respect of their Processing of such Personal Data as Data Controllers. </w:t>
      </w:r>
    </w:p>
    <w:p w:rsidR="00EA7B78" w:rsidRDefault="001149DD">
      <w:pPr>
        <w:keepNext/>
        <w:rPr>
          <w:rFonts w:ascii="Arial" w:eastAsia="Arial" w:hAnsi="Arial" w:cs="Arial"/>
          <w:sz w:val="24"/>
          <w:szCs w:val="24"/>
        </w:rPr>
      </w:pPr>
      <w:r>
        <w:rPr>
          <w:rFonts w:ascii="Arial" w:eastAsia="Arial" w:hAnsi="Arial" w:cs="Arial"/>
          <w:sz w:val="24"/>
          <w:szCs w:val="24"/>
          <w:highlight w:val="white"/>
        </w:rPr>
        <w:t xml:space="preserve">1.2 The Parties agree that the </w:t>
      </w:r>
      <w:r>
        <w:rPr>
          <w:rFonts w:ascii="Arial" w:eastAsia="Arial" w:hAnsi="Arial" w:cs="Arial"/>
          <w:sz w:val="24"/>
          <w:szCs w:val="24"/>
          <w:highlight w:val="yellow"/>
        </w:rPr>
        <w:t xml:space="preserve">[Supplier/Relevant Authority]: </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 xml:space="preserve">is the </w:t>
      </w:r>
      <w:r>
        <w:rPr>
          <w:rFonts w:ascii="Arial" w:eastAsia="Arial" w:hAnsi="Arial" w:cs="Arial"/>
          <w:sz w:val="24"/>
          <w:szCs w:val="24"/>
        </w:rPr>
        <w:t>exclusive</w:t>
      </w:r>
      <w:r>
        <w:rPr>
          <w:rFonts w:ascii="Arial" w:eastAsia="Arial" w:hAnsi="Arial" w:cs="Arial"/>
          <w:sz w:val="24"/>
          <w:szCs w:val="24"/>
          <w:highlight w:val="white"/>
        </w:rPr>
        <w:t xml:space="preserve"> point of contact for Data Subjects and is responsible for all steps neces</w:t>
      </w:r>
      <w:r>
        <w:rPr>
          <w:rFonts w:ascii="Arial" w:eastAsia="Arial" w:hAnsi="Arial" w:cs="Arial"/>
          <w:sz w:val="24"/>
          <w:szCs w:val="24"/>
          <w:highlight w:val="white"/>
        </w:rPr>
        <w:t>sary to comply with the UK GDPR regarding the exercise by Data Subjects of their rights under the UK GDPR;</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highlight w:val="white"/>
        </w:rPr>
      </w:pPr>
      <w:r>
        <w:rPr>
          <w:rFonts w:ascii="Arial" w:eastAsia="Arial" w:hAnsi="Arial" w:cs="Arial"/>
          <w:sz w:val="24"/>
          <w:szCs w:val="24"/>
          <w:highlight w:val="white"/>
        </w:rPr>
        <w:t>shall direct Data Subjects to its Data Protection Officer or suitable alternative in connection with the exercise of their rights as Data Subjects an</w:t>
      </w:r>
      <w:r>
        <w:rPr>
          <w:rFonts w:ascii="Arial" w:eastAsia="Arial" w:hAnsi="Arial" w:cs="Arial"/>
          <w:sz w:val="24"/>
          <w:szCs w:val="24"/>
          <w:highlight w:val="white"/>
        </w:rPr>
        <w:t>d for any enquiries concerning their Personal Data or privacy;</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solely responsible for the Parties’ compliance with all duties to provide information to Data Subjects under Articles 13 and 14 of the UK GDPR;</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is responsible for obtaining the informed cons</w:t>
      </w:r>
      <w:r>
        <w:rPr>
          <w:rFonts w:ascii="Arial" w:eastAsia="Arial" w:hAnsi="Arial" w:cs="Arial"/>
          <w:sz w:val="24"/>
          <w:szCs w:val="24"/>
        </w:rPr>
        <w:t>ent of Data Subjects, in accordance with the UK GDPR, for Processing in connection with the Deliverables where consent is the relevant legal basis for that Processing; and</w:t>
      </w:r>
    </w:p>
    <w:p w:rsidR="00EA7B78" w:rsidRDefault="001149DD">
      <w:pPr>
        <w:numPr>
          <w:ilvl w:val="2"/>
          <w:numId w:val="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shall make available to Data Subjects the essence of this Annex (and notify them of </w:t>
      </w:r>
      <w:r>
        <w:rPr>
          <w:rFonts w:ascii="Arial" w:eastAsia="Arial" w:hAnsi="Arial" w:cs="Arial"/>
          <w:sz w:val="24"/>
          <w:szCs w:val="24"/>
        </w:rPr>
        <w:t>any changes to it) concerning the allocation of responsibilities as Joint Controller and its role as exclusive point of contact, the Parties having used their best endeavours to agree the terms of that essence. This must be outlined in the [Supplier’s/Rele</w:t>
      </w:r>
      <w:r>
        <w:rPr>
          <w:rFonts w:ascii="Arial" w:eastAsia="Arial" w:hAnsi="Arial" w:cs="Arial"/>
          <w:sz w:val="24"/>
          <w:szCs w:val="24"/>
        </w:rPr>
        <w:t>vant Authority’s] privacy policy (which must be readily available by hyperlink or otherwise on all of its public facing services and marketing).</w:t>
      </w:r>
    </w:p>
    <w:p w:rsidR="00EA7B78" w:rsidRDefault="001149DD">
      <w:pPr>
        <w:rPr>
          <w:rFonts w:ascii="Arial" w:eastAsia="Arial" w:hAnsi="Arial" w:cs="Arial"/>
          <w:sz w:val="24"/>
          <w:szCs w:val="24"/>
        </w:rPr>
      </w:pPr>
      <w:r>
        <w:rPr>
          <w:rFonts w:ascii="Arial" w:eastAsia="Arial" w:hAnsi="Arial" w:cs="Arial"/>
          <w:sz w:val="24"/>
          <w:szCs w:val="24"/>
        </w:rPr>
        <w:t>1.3 Notwithstanding the terms of clause 1.2, the Parties acknowledge that a Data Subject has the right to exerc</w:t>
      </w:r>
      <w:r>
        <w:rPr>
          <w:rFonts w:ascii="Arial" w:eastAsia="Arial" w:hAnsi="Arial" w:cs="Arial"/>
          <w:sz w:val="24"/>
          <w:szCs w:val="24"/>
        </w:rPr>
        <w:t>ise their legal rights under the Data Protection Legislation as against the relevant Party as Controller.</w:t>
      </w: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Undertakings of both Parties</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The Supplier and the Relevant Authority each undertake that they shall: </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report to the other Party every </w:t>
      </w:r>
      <w:r>
        <w:rPr>
          <w:rFonts w:ascii="Arial" w:eastAsia="Arial" w:hAnsi="Arial" w:cs="Arial"/>
          <w:sz w:val="24"/>
          <w:szCs w:val="24"/>
          <w:highlight w:val="yellow"/>
        </w:rPr>
        <w:t>[x]</w:t>
      </w:r>
      <w:r>
        <w:rPr>
          <w:rFonts w:ascii="Arial" w:eastAsia="Arial" w:hAnsi="Arial" w:cs="Arial"/>
          <w:sz w:val="24"/>
          <w:szCs w:val="24"/>
        </w:rPr>
        <w:t xml:space="preserve"> months on:</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lastRenderedPageBreak/>
        <w:tab/>
      </w:r>
      <w:r>
        <w:rPr>
          <w:rFonts w:ascii="Arial" w:eastAsia="Arial" w:hAnsi="Arial" w:cs="Arial"/>
          <w:sz w:val="24"/>
          <w:szCs w:val="24"/>
        </w:rPr>
        <w:t>the volume of Data Subject Access Request (or purported Data Subject  Access Requests) from Data Subjects (or third parties on their behalf);</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b/>
        <w:t>the volume of requests from Data Subjects (or third parties on their behalf) to rectify, block or erase any Perso</w:t>
      </w:r>
      <w:r>
        <w:rPr>
          <w:rFonts w:ascii="Arial" w:eastAsia="Arial" w:hAnsi="Arial" w:cs="Arial"/>
          <w:sz w:val="24"/>
          <w:szCs w:val="24"/>
        </w:rPr>
        <w:t xml:space="preserve">nal Data; </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other requests, complaints or communications from Data Subjects (or third parties on their behalf) relating to the other Party’s obligations under applicable Data Protection Legislation;</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communications from the Information Commissioner o</w:t>
      </w:r>
      <w:r>
        <w:rPr>
          <w:rFonts w:ascii="Arial" w:eastAsia="Arial" w:hAnsi="Arial" w:cs="Arial"/>
          <w:sz w:val="24"/>
          <w:szCs w:val="24"/>
        </w:rPr>
        <w:t>r any other regulatory authority in connection with Personal Data; and</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any requests from any third party for disclosure of Personal Data where compliance with such request is required or purported to be required by Law,</w:t>
      </w:r>
    </w:p>
    <w:p w:rsidR="00EA7B78" w:rsidRDefault="001149DD">
      <w:pPr>
        <w:ind w:left="720"/>
        <w:rPr>
          <w:rFonts w:ascii="Arial" w:eastAsia="Arial" w:hAnsi="Arial" w:cs="Arial"/>
          <w:sz w:val="24"/>
          <w:szCs w:val="24"/>
        </w:rPr>
      </w:pPr>
      <w:r>
        <w:rPr>
          <w:rFonts w:ascii="Arial" w:eastAsia="Arial" w:hAnsi="Arial" w:cs="Arial"/>
          <w:sz w:val="24"/>
          <w:szCs w:val="24"/>
        </w:rPr>
        <w:t xml:space="preserve">that it has received in relation to </w:t>
      </w:r>
      <w:r>
        <w:rPr>
          <w:rFonts w:ascii="Arial" w:eastAsia="Arial" w:hAnsi="Arial" w:cs="Arial"/>
          <w:sz w:val="24"/>
          <w:szCs w:val="24"/>
        </w:rPr>
        <w:t xml:space="preserve">the subject matter of the Contract during that period; </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notify each other immediately if it receives any request, complaint or communication made as referred to in Clauses 2.1(a)(i) to (v); </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the other Party with full cooperation and assistance in r</w:t>
      </w:r>
      <w:r>
        <w:rPr>
          <w:rFonts w:ascii="Arial" w:eastAsia="Arial" w:hAnsi="Arial" w:cs="Arial"/>
          <w:sz w:val="24"/>
          <w:szCs w:val="24"/>
        </w:rPr>
        <w:t>elation to any request, complaint or communication made as referred to in Clauses 2.1(a)(iii) to (v) to enable the other Party to comply with the relevant timescales set out in the Data Protection Legislation;</w:t>
      </w:r>
    </w:p>
    <w:p w:rsidR="00EA7B78" w:rsidRDefault="001149DD">
      <w:pPr>
        <w:numPr>
          <w:ilvl w:val="2"/>
          <w:numId w:val="12"/>
        </w:numPr>
        <w:pBdr>
          <w:top w:val="nil"/>
          <w:left w:val="nil"/>
          <w:bottom w:val="nil"/>
          <w:right w:val="nil"/>
          <w:between w:val="nil"/>
        </w:pBdr>
        <w:tabs>
          <w:tab w:val="left" w:pos="4395"/>
        </w:tabs>
        <w:spacing w:before="280" w:after="120" w:line="240" w:lineRule="auto"/>
        <w:jc w:val="both"/>
        <w:rPr>
          <w:rFonts w:ascii="Arial" w:eastAsia="Arial" w:hAnsi="Arial" w:cs="Arial"/>
          <w:sz w:val="24"/>
          <w:szCs w:val="24"/>
        </w:rPr>
      </w:pPr>
      <w:r>
        <w:rPr>
          <w:rFonts w:ascii="Arial" w:eastAsia="Arial" w:hAnsi="Arial" w:cs="Arial"/>
          <w:sz w:val="24"/>
          <w:szCs w:val="24"/>
        </w:rPr>
        <w:t>not disclose or transfer the Personal Data to any third party unless necessary for the provision of the Deliverables and, for any disclosure or transfer of Personal Data to any third party, (save where such disclosure or transfer is specifically authorised</w:t>
      </w:r>
      <w:r>
        <w:rPr>
          <w:rFonts w:ascii="Arial" w:eastAsia="Arial" w:hAnsi="Arial" w:cs="Arial"/>
          <w:sz w:val="24"/>
          <w:szCs w:val="24"/>
        </w:rPr>
        <w:t xml:space="preserve"> under the Contract or is required by Law) ensure consent has been obtained from the Data Subject prior to disclosing or transferring the Personal Data to the third party. For the avoidance of doubt, the third party to which Personal Data is transferred mu</w:t>
      </w:r>
      <w:r>
        <w:rPr>
          <w:rFonts w:ascii="Arial" w:eastAsia="Arial" w:hAnsi="Arial" w:cs="Arial"/>
          <w:sz w:val="24"/>
          <w:szCs w:val="24"/>
        </w:rPr>
        <w:t>st be subject to equivalent obligations which are no less onerous than those set out in this Annex;</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request from the Data Subject only the minimum information necessary to provide the Deliverables and treat such extracted information as Confidential Inform</w:t>
      </w:r>
      <w:r>
        <w:rPr>
          <w:rFonts w:ascii="Arial" w:eastAsia="Arial" w:hAnsi="Arial" w:cs="Arial"/>
          <w:sz w:val="24"/>
          <w:szCs w:val="24"/>
        </w:rPr>
        <w:t>ation;</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at all times it has in place appropriate Protective Measures to guard against unauthorised or unlawful Processing of the Personal Data and/or accidental loss, destruction or damage to the Personal Data and unauthorised or unlawful disclo</w:t>
      </w:r>
      <w:r>
        <w:rPr>
          <w:rFonts w:ascii="Arial" w:eastAsia="Arial" w:hAnsi="Arial" w:cs="Arial"/>
          <w:sz w:val="24"/>
          <w:szCs w:val="24"/>
        </w:rPr>
        <w:t>sure of or access to the Personal Data;</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take all reasonable steps to ensure the reliability and integrity of any of its Personnel who have access to the Personal Data and ensure that its Personnel:</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aware of and comply with their duties under this Annex</w:t>
      </w:r>
      <w:r>
        <w:rPr>
          <w:rFonts w:ascii="Arial" w:eastAsia="Arial" w:hAnsi="Arial" w:cs="Arial"/>
          <w:sz w:val="24"/>
          <w:szCs w:val="24"/>
        </w:rPr>
        <w:t xml:space="preserve"> 2 (Joint Controller Agreement) and those in respect of Confidential Information; </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are informed of the confidential nature of the Personal Data, are subject to appropriate obligations of confidentiality and do not publish, disclose or divulge any of the Pe</w:t>
      </w:r>
      <w:r>
        <w:rPr>
          <w:rFonts w:ascii="Arial" w:eastAsia="Arial" w:hAnsi="Arial" w:cs="Arial"/>
          <w:sz w:val="24"/>
          <w:szCs w:val="24"/>
        </w:rPr>
        <w:t>rsonal Data to any third party where the that Party would not be permitted to do so; and</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have undergone adequate training in the use, care, protection and handling of personal data as required by the applicable Data Protection Legislation;</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w:t>
      </w:r>
      <w:r>
        <w:rPr>
          <w:rFonts w:ascii="Arial" w:eastAsia="Arial" w:hAnsi="Arial" w:cs="Arial"/>
          <w:sz w:val="24"/>
          <w:szCs w:val="24"/>
        </w:rPr>
        <w:t>as in place Protective Measures as appropriate to protect against a Personal Data Breach having taken account of the:</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nature of the data to be protected;</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harm that might result from a Personal Data Breach;</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state of technological development; and</w:t>
      </w:r>
    </w:p>
    <w:p w:rsidR="00EA7B78" w:rsidRDefault="001149DD">
      <w:pPr>
        <w:numPr>
          <w:ilvl w:val="3"/>
          <w:numId w:val="12"/>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cost of implementing any measures;</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it has the capability (whether technological or otherwise), to the extent required by Data Protection Legislation, to provide or correct or delete at the request of a Data Subject all the Personal Data relatin</w:t>
      </w:r>
      <w:r>
        <w:rPr>
          <w:rFonts w:ascii="Arial" w:eastAsia="Arial" w:hAnsi="Arial" w:cs="Arial"/>
          <w:sz w:val="24"/>
          <w:szCs w:val="24"/>
        </w:rPr>
        <w:t>g to that Data Subject that it holds; and</w:t>
      </w:r>
    </w:p>
    <w:p w:rsidR="00EA7B78" w:rsidRDefault="001149DD">
      <w:pPr>
        <w:numPr>
          <w:ilvl w:val="2"/>
          <w:numId w:val="1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ensure that it notifies the other Party as soon as it becomes aware of a Personal Data Breach. </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Joint Controller shall use its reasonable endeavours to assist the other Controller to comply with any obligation</w:t>
      </w:r>
      <w:r>
        <w:rPr>
          <w:rFonts w:ascii="Arial" w:eastAsia="Arial" w:hAnsi="Arial" w:cs="Arial"/>
          <w:color w:val="000000"/>
          <w:sz w:val="24"/>
          <w:szCs w:val="24"/>
        </w:rPr>
        <w:t>s under applicable Data Protection Legislation and shall not perform its obligations under this Annex in such a way as to cause the other Joint Controller to breach any of its obligations under applicable Data Protection Legislation to the extent it is awa</w:t>
      </w:r>
      <w:r>
        <w:rPr>
          <w:rFonts w:ascii="Arial" w:eastAsia="Arial" w:hAnsi="Arial" w:cs="Arial"/>
          <w:color w:val="000000"/>
          <w:sz w:val="24"/>
          <w:szCs w:val="24"/>
        </w:rPr>
        <w:t>re, or ought reasonably to have been aware, that the same would be a breach of such obligations.</w:t>
      </w: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Data Protection Breach</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Without prejudice to clause 3.2, each Party shall notify the other Party promptly and without undue delay, and in any event within 48 hours, upon becoming aware of any Personal Data Breach or circumstances that are likely to give rise to a Personal Data Br</w:t>
      </w:r>
      <w:r>
        <w:rPr>
          <w:rFonts w:ascii="Arial" w:eastAsia="Arial" w:hAnsi="Arial" w:cs="Arial"/>
          <w:color w:val="000000"/>
          <w:sz w:val="24"/>
          <w:szCs w:val="24"/>
        </w:rPr>
        <w:t>each, providing the other Party and its advisors with:</w:t>
      </w:r>
    </w:p>
    <w:p w:rsidR="00EA7B78" w:rsidRDefault="001149DD">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sufficient information and in a timescale which allows the other Party to meet any obligations to report a Personal Data Breach under the Data Protection Legislation; and</w:t>
      </w:r>
    </w:p>
    <w:p w:rsidR="00EA7B78" w:rsidRDefault="001149DD">
      <w:pPr>
        <w:numPr>
          <w:ilvl w:val="2"/>
          <w:numId w:val="13"/>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all reasonable assistance, inc</w:t>
      </w:r>
      <w:r>
        <w:rPr>
          <w:rFonts w:ascii="Arial" w:eastAsia="Arial" w:hAnsi="Arial" w:cs="Arial"/>
          <w:sz w:val="24"/>
          <w:szCs w:val="24"/>
        </w:rPr>
        <w:t>luding:</w:t>
      </w:r>
    </w:p>
    <w:p w:rsidR="00EA7B78" w:rsidRDefault="001149DD">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and the Information Commissioner investigating the Personal Data Breach and its cause, containing and recovering the compromised Personal Data and compliance with the applicable guidance;</w:t>
      </w:r>
    </w:p>
    <w:p w:rsidR="00EA7B78" w:rsidRDefault="001149DD">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co-operation with the other Party including taking such reasonable steps as are directed by the other Party to assist in the investigation, mitigation and remediation of a Personal Data Breach;</w:t>
      </w:r>
    </w:p>
    <w:p w:rsidR="00EA7B78" w:rsidRDefault="001149DD">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co-ordination with the other Party regarding the management of</w:t>
      </w:r>
      <w:r>
        <w:rPr>
          <w:rFonts w:ascii="Arial" w:eastAsia="Arial" w:hAnsi="Arial" w:cs="Arial"/>
          <w:sz w:val="24"/>
          <w:szCs w:val="24"/>
        </w:rPr>
        <w:t xml:space="preserve"> public relations and public statements relating to the Personal Data Breach; and/or</w:t>
      </w:r>
    </w:p>
    <w:p w:rsidR="00EA7B78" w:rsidRDefault="001149DD">
      <w:pPr>
        <w:numPr>
          <w:ilvl w:val="3"/>
          <w:numId w:val="13"/>
        </w:numPr>
        <w:pBdr>
          <w:top w:val="nil"/>
          <w:left w:val="nil"/>
          <w:bottom w:val="nil"/>
          <w:right w:val="nil"/>
          <w:between w:val="nil"/>
        </w:pBdr>
        <w:spacing w:before="280" w:after="120" w:line="240" w:lineRule="auto"/>
        <w:ind w:hanging="707"/>
        <w:jc w:val="both"/>
        <w:rPr>
          <w:rFonts w:ascii="Arial" w:eastAsia="Arial" w:hAnsi="Arial" w:cs="Arial"/>
          <w:sz w:val="24"/>
          <w:szCs w:val="24"/>
        </w:rPr>
      </w:pPr>
      <w:r>
        <w:rPr>
          <w:rFonts w:ascii="Arial" w:eastAsia="Arial" w:hAnsi="Arial" w:cs="Arial"/>
          <w:sz w:val="24"/>
          <w:szCs w:val="24"/>
        </w:rPr>
        <w:t>providing the other Party and to the extent instructed by the other Party to do so, and/or the Information Commissioner investigating the Personal Data Breach, with comple</w:t>
      </w:r>
      <w:r>
        <w:rPr>
          <w:rFonts w:ascii="Arial" w:eastAsia="Arial" w:hAnsi="Arial" w:cs="Arial"/>
          <w:sz w:val="24"/>
          <w:szCs w:val="24"/>
        </w:rPr>
        <w:t>te information relating to the Personal Data Breach, including, without limitation, the information set out in Clause 3.2.</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Each Party shall take all steps to restore, re-constitute and/or reconstruct any Personal Data where it has  lost, damaged, destroyed</w:t>
      </w:r>
      <w:r>
        <w:rPr>
          <w:rFonts w:ascii="Arial" w:eastAsia="Arial" w:hAnsi="Arial" w:cs="Arial"/>
          <w:color w:val="000000"/>
          <w:sz w:val="24"/>
          <w:szCs w:val="24"/>
        </w:rPr>
        <w:t>, altered or corrupted as a result of a Personal Data Breach as it was  that Party’s own data at its own cost with all possible speed and shall provide the other Party with all reasonable assistance in respect of any such Personal Data Breach, including pr</w:t>
      </w:r>
      <w:r>
        <w:rPr>
          <w:rFonts w:ascii="Arial" w:eastAsia="Arial" w:hAnsi="Arial" w:cs="Arial"/>
          <w:color w:val="000000"/>
          <w:sz w:val="24"/>
          <w:szCs w:val="24"/>
        </w:rPr>
        <w:t>oviding the other Party, as soon as possible and within 48 hours of the Personal Data Breach relating to the Personal Data Breach, in particular:</w:t>
      </w:r>
    </w:p>
    <w:p w:rsidR="00EA7B78" w:rsidRDefault="001149DD">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nature of the Personal Data Breach; </w:t>
      </w:r>
    </w:p>
    <w:p w:rsidR="00EA7B78" w:rsidRDefault="001149DD">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nature of Personal Data affected;</w:t>
      </w:r>
    </w:p>
    <w:p w:rsidR="00EA7B78" w:rsidRDefault="001149DD">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categories and number of Da</w:t>
      </w:r>
      <w:r>
        <w:rPr>
          <w:rFonts w:ascii="Arial" w:eastAsia="Arial" w:hAnsi="Arial" w:cs="Arial"/>
          <w:sz w:val="24"/>
          <w:szCs w:val="24"/>
        </w:rPr>
        <w:t>ta Subjects concerned;</w:t>
      </w:r>
    </w:p>
    <w:p w:rsidR="00EA7B78" w:rsidRDefault="001149DD">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the name and contact details of the Supplier’s Data Protection Officer or other relevant contact from whom more information may be obtained;</w:t>
      </w:r>
    </w:p>
    <w:p w:rsidR="00EA7B78" w:rsidRDefault="001149DD">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measures taken or proposed to be taken to address the Personal Data Breach; and</w:t>
      </w:r>
    </w:p>
    <w:p w:rsidR="00EA7B78" w:rsidRDefault="001149DD">
      <w:pPr>
        <w:numPr>
          <w:ilvl w:val="2"/>
          <w:numId w:val="1"/>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describe the likely consequences of the Personal Data Breach.</w:t>
      </w: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Audit</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permit:</w:t>
      </w:r>
      <w:r>
        <w:rPr>
          <w:rFonts w:ascii="Arial" w:eastAsia="Arial" w:hAnsi="Arial" w:cs="Arial"/>
          <w:color w:val="000000"/>
          <w:sz w:val="24"/>
          <w:szCs w:val="24"/>
        </w:rPr>
        <w:tab/>
      </w:r>
    </w:p>
    <w:p w:rsidR="00EA7B78" w:rsidRDefault="001149DD">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the Relevant Authority, or a third-party auditor acting under the Relevant Authority’s direction, to conduct, at the Relevant Authority’s cost, data privacy and security audits, assessments and inspections concerning the Supplier’s data security and privac</w:t>
      </w:r>
      <w:r>
        <w:rPr>
          <w:rFonts w:ascii="Arial" w:eastAsia="Arial" w:hAnsi="Arial" w:cs="Arial"/>
          <w:sz w:val="24"/>
          <w:szCs w:val="24"/>
        </w:rPr>
        <w:t>y procedures relating to Personal Data, its compliance with this Annex 2 and the Data Protection Legislation; and/or</w:t>
      </w:r>
    </w:p>
    <w:p w:rsidR="00EA7B78" w:rsidRDefault="001149DD">
      <w:pPr>
        <w:numPr>
          <w:ilvl w:val="2"/>
          <w:numId w:val="2"/>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the Relevant Authority, or a third-party auditor acting under the Relevant Authority’s direction, access to premises at which the Personal </w:t>
      </w:r>
      <w:r>
        <w:rPr>
          <w:rFonts w:ascii="Arial" w:eastAsia="Arial" w:hAnsi="Arial" w:cs="Arial"/>
          <w:sz w:val="24"/>
          <w:szCs w:val="24"/>
        </w:rPr>
        <w:t xml:space="preserve">Data is accessible or at which it is able to inspect any relevant records, including the record maintained under Article 30 UK GDPR by the Supplier so far as relevant to the Contract, and procedures, including premises under the control of any third party </w:t>
      </w:r>
      <w:r>
        <w:rPr>
          <w:rFonts w:ascii="Arial" w:eastAsia="Arial" w:hAnsi="Arial" w:cs="Arial"/>
          <w:sz w:val="24"/>
          <w:szCs w:val="24"/>
        </w:rPr>
        <w:t xml:space="preserve">appointed by the Supplier to assist in the provision of the Deliverables. </w:t>
      </w:r>
    </w:p>
    <w:p w:rsidR="00EA7B78" w:rsidRDefault="00EA7B78">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Relevant Authority may, in its sole discretion, require the Supplier to provide evidence of the Supplier’s compliance with Clause 4.1 in lieu of conducting such an audit, asses</w:t>
      </w:r>
      <w:r>
        <w:rPr>
          <w:rFonts w:ascii="Arial" w:eastAsia="Arial" w:hAnsi="Arial" w:cs="Arial"/>
          <w:color w:val="000000"/>
          <w:sz w:val="24"/>
          <w:szCs w:val="24"/>
        </w:rPr>
        <w:t>sment or inspection.</w:t>
      </w: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Impact Assessments</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The Parties shall:</w:t>
      </w:r>
    </w:p>
    <w:p w:rsidR="00EA7B78" w:rsidRDefault="001149DD">
      <w:pPr>
        <w:numPr>
          <w:ilvl w:val="2"/>
          <w:numId w:val="4"/>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provide all reasonable assistance to each other to prepare any Data Protection Impact Assessment as may be required (including provision of detailed information and assessments in relation to Processing operations, risks and measures); and</w:t>
      </w:r>
    </w:p>
    <w:p w:rsidR="00EA7B78" w:rsidRDefault="00EA7B78">
      <w:pPr>
        <w:pBdr>
          <w:top w:val="nil"/>
          <w:left w:val="nil"/>
          <w:bottom w:val="nil"/>
          <w:right w:val="nil"/>
          <w:between w:val="nil"/>
        </w:pBdr>
        <w:spacing w:after="80"/>
        <w:ind w:left="11"/>
        <w:rPr>
          <w:rFonts w:ascii="Arial" w:eastAsia="Arial" w:hAnsi="Arial" w:cs="Arial"/>
          <w:sz w:val="24"/>
          <w:szCs w:val="24"/>
        </w:rPr>
      </w:pPr>
    </w:p>
    <w:p w:rsidR="00EA7B78" w:rsidRDefault="001149DD">
      <w:pPr>
        <w:numPr>
          <w:ilvl w:val="2"/>
          <w:numId w:val="4"/>
        </w:numPr>
        <w:pBdr>
          <w:top w:val="nil"/>
          <w:left w:val="nil"/>
          <w:bottom w:val="nil"/>
          <w:right w:val="nil"/>
          <w:between w:val="nil"/>
        </w:pBdr>
        <w:spacing w:before="80" w:after="120" w:line="240" w:lineRule="auto"/>
        <w:jc w:val="both"/>
        <w:rPr>
          <w:rFonts w:ascii="Arial" w:eastAsia="Arial" w:hAnsi="Arial" w:cs="Arial"/>
          <w:sz w:val="24"/>
          <w:szCs w:val="24"/>
        </w:rPr>
      </w:pPr>
      <w:r>
        <w:rPr>
          <w:rFonts w:ascii="Arial" w:eastAsia="Arial" w:hAnsi="Arial" w:cs="Arial"/>
          <w:sz w:val="24"/>
          <w:szCs w:val="24"/>
        </w:rPr>
        <w:t>maintain full and complete records of all Processing carried out in respect of the Personal Data in connection with the Contract, in accordance with the terms of Article 30 UK GDPR.</w:t>
      </w:r>
    </w:p>
    <w:p w:rsidR="00EA7B78" w:rsidRDefault="00EA7B78">
      <w:pPr>
        <w:keepNext/>
        <w:rPr>
          <w:rFonts w:ascii="Arial" w:eastAsia="Arial" w:hAnsi="Arial" w:cs="Arial"/>
          <w:sz w:val="24"/>
          <w:szCs w:val="24"/>
        </w:rPr>
      </w:pP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ICO Guidance</w:t>
      </w:r>
    </w:p>
    <w:p w:rsidR="00EA7B78" w:rsidRDefault="001149DD">
      <w:pPr>
        <w:ind w:left="720"/>
        <w:rPr>
          <w:rFonts w:ascii="Arial" w:eastAsia="Arial" w:hAnsi="Arial" w:cs="Arial"/>
          <w:sz w:val="24"/>
          <w:szCs w:val="24"/>
        </w:rPr>
      </w:pPr>
      <w:r>
        <w:rPr>
          <w:rFonts w:ascii="Arial" w:eastAsia="Arial" w:hAnsi="Arial" w:cs="Arial"/>
          <w:sz w:val="24"/>
          <w:szCs w:val="24"/>
        </w:rPr>
        <w:t xml:space="preserve">The Parties agree to take account of any guidance issued by </w:t>
      </w:r>
      <w:r>
        <w:rPr>
          <w:rFonts w:ascii="Arial" w:eastAsia="Arial" w:hAnsi="Arial" w:cs="Arial"/>
          <w:sz w:val="24"/>
          <w:szCs w:val="24"/>
        </w:rPr>
        <w:t>the Information Commissioner and/or any relevant Central Government Body. The Relevant Authority may on not less than thirty (30) Working Days’ notice to the Supplier amend the Contract to ensure that it complies with any guidance issued by the Information</w:t>
      </w:r>
      <w:r>
        <w:rPr>
          <w:rFonts w:ascii="Arial" w:eastAsia="Arial" w:hAnsi="Arial" w:cs="Arial"/>
          <w:sz w:val="24"/>
          <w:szCs w:val="24"/>
        </w:rPr>
        <w:t xml:space="preserve"> Commissioner and/or any relevant Central Government Body.</w:t>
      </w: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Liabilities for Data Protection Breach</w:t>
      </w:r>
    </w:p>
    <w:p w:rsidR="00EA7B78" w:rsidRDefault="001149DD">
      <w:pPr>
        <w:ind w:left="720"/>
        <w:rPr>
          <w:rFonts w:ascii="Arial" w:eastAsia="Arial" w:hAnsi="Arial" w:cs="Arial"/>
          <w:b/>
          <w:sz w:val="24"/>
          <w:szCs w:val="24"/>
        </w:rPr>
      </w:pPr>
      <w:r>
        <w:rPr>
          <w:rFonts w:ascii="Arial" w:eastAsia="Arial" w:hAnsi="Arial" w:cs="Arial"/>
          <w:b/>
          <w:sz w:val="24"/>
          <w:szCs w:val="24"/>
          <w:highlight w:val="yellow"/>
        </w:rPr>
        <w:t>[Guidance:</w:t>
      </w:r>
      <w:r>
        <w:rPr>
          <w:rFonts w:ascii="Arial" w:eastAsia="Arial" w:hAnsi="Arial" w:cs="Arial"/>
          <w:b/>
          <w:sz w:val="24"/>
          <w:szCs w:val="24"/>
        </w:rPr>
        <w:t xml:space="preserve"> </w:t>
      </w:r>
      <w:r>
        <w:rPr>
          <w:rFonts w:ascii="Arial" w:eastAsia="Arial" w:hAnsi="Arial" w:cs="Arial"/>
          <w:sz w:val="24"/>
          <w:szCs w:val="24"/>
        </w:rPr>
        <w:t xml:space="preserve">This clause represents a risk share, you may wish to reconsider the apportionment of liability and whether recoverability of losses are likely to be hindered by the contractual limitation of liability provisions] </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If financial penalties are imposed by the Information Commissioner on either the Relevant Authority or the Supplier for a Personal Data Breach ("</w:t>
      </w:r>
      <w:r>
        <w:rPr>
          <w:rFonts w:ascii="Arial" w:eastAsia="Arial" w:hAnsi="Arial" w:cs="Arial"/>
          <w:b/>
          <w:color w:val="000000"/>
          <w:sz w:val="24"/>
          <w:szCs w:val="24"/>
        </w:rPr>
        <w:t>Financial Penalties</w:t>
      </w:r>
      <w:r>
        <w:rPr>
          <w:rFonts w:ascii="Arial" w:eastAsia="Arial" w:hAnsi="Arial" w:cs="Arial"/>
          <w:color w:val="000000"/>
          <w:sz w:val="24"/>
          <w:szCs w:val="24"/>
        </w:rPr>
        <w:t>") then the following shall occur:</w:t>
      </w:r>
    </w:p>
    <w:p w:rsidR="00EA7B78" w:rsidRDefault="001149DD">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in the view of the Information Commissioner, the Relev</w:t>
      </w:r>
      <w:r>
        <w:rPr>
          <w:rFonts w:ascii="Arial" w:eastAsia="Arial" w:hAnsi="Arial" w:cs="Arial"/>
          <w:sz w:val="24"/>
          <w:szCs w:val="24"/>
        </w:rPr>
        <w:t>ant Authority is responsible for the Personal Data Breach, in that it is caused as a result of the actions or inaction of the Relevant Authority, its employees, agents, contractors (other than the Supplier) or systems and procedures controlled by the Relev</w:t>
      </w:r>
      <w:r>
        <w:rPr>
          <w:rFonts w:ascii="Arial" w:eastAsia="Arial" w:hAnsi="Arial" w:cs="Arial"/>
          <w:sz w:val="24"/>
          <w:szCs w:val="24"/>
        </w:rPr>
        <w:t>ant Authority, then the Relevant Authority shall be responsible for the payment of such Financial Penalties. In this case, the Relevant Authority will conduct an internal audit and engage at its reasonable cost when necessary, an independent third party to</w:t>
      </w:r>
      <w:r>
        <w:rPr>
          <w:rFonts w:ascii="Arial" w:eastAsia="Arial" w:hAnsi="Arial" w:cs="Arial"/>
          <w:sz w:val="24"/>
          <w:szCs w:val="24"/>
        </w:rPr>
        <w:t xml:space="preserve"> conduct an audit of any such Personal Data Breach. The Supplier shall provide to the Relevant Authority and its third party investigators and auditors, on request and at the Supplier's reasonable cost, full cooperation and access to conduct a thorough aud</w:t>
      </w:r>
      <w:r>
        <w:rPr>
          <w:rFonts w:ascii="Arial" w:eastAsia="Arial" w:hAnsi="Arial" w:cs="Arial"/>
          <w:sz w:val="24"/>
          <w:szCs w:val="24"/>
        </w:rPr>
        <w:t xml:space="preserve">it of such Personal Data Breach; </w:t>
      </w:r>
    </w:p>
    <w:p w:rsidR="00EA7B78" w:rsidRDefault="001149DD">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in the view of the Information Commissioner, the Supplier is responsible for the Personal Data Breach, in that it is not a Personal Data Breach that the Relevant Authority is responsible for, then the Supplier shall be </w:t>
      </w:r>
      <w:r>
        <w:rPr>
          <w:rFonts w:ascii="Arial" w:eastAsia="Arial" w:hAnsi="Arial" w:cs="Arial"/>
          <w:sz w:val="24"/>
          <w:szCs w:val="24"/>
        </w:rPr>
        <w:t>responsible for the payment of these Financial Penalties. The Supplier will provide to the Relevant Authority and its auditors, on request and at the Supplier’s sole cost, full cooperation and access to conduct a thorough audit of such Personal Data Breach</w:t>
      </w:r>
      <w:r>
        <w:rPr>
          <w:rFonts w:ascii="Arial" w:eastAsia="Arial" w:hAnsi="Arial" w:cs="Arial"/>
          <w:sz w:val="24"/>
          <w:szCs w:val="24"/>
        </w:rPr>
        <w:t>; or</w:t>
      </w:r>
    </w:p>
    <w:p w:rsidR="00EA7B78" w:rsidRDefault="001149DD">
      <w:pPr>
        <w:numPr>
          <w:ilvl w:val="2"/>
          <w:numId w:val="5"/>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 xml:space="preserve">if no view as to responsibility is expressed by the Information Commissioner, then the Relevant Authority and the Supplier shall work together to investigate the relevant Personal Data Breach and allocate responsibility for any Financial Penalties as </w:t>
      </w:r>
      <w:r>
        <w:rPr>
          <w:rFonts w:ascii="Arial" w:eastAsia="Arial" w:hAnsi="Arial" w:cs="Arial"/>
          <w:sz w:val="24"/>
          <w:szCs w:val="24"/>
        </w:rPr>
        <w:t xml:space="preserve">outlined above, or by agreement to split any financial penalties equally if no responsibility for the Personal Data Breach can be apportioned. In the event that the Parties do not agree such apportionment then such Dispute shall be referred to the Dispute </w:t>
      </w:r>
      <w:r>
        <w:rPr>
          <w:rFonts w:ascii="Arial" w:eastAsia="Arial" w:hAnsi="Arial" w:cs="Arial"/>
          <w:sz w:val="24"/>
          <w:szCs w:val="24"/>
        </w:rPr>
        <w:t xml:space="preserve">Resolution Procedure set out in Clause 34 of the Core Terms (Resolving disputes). </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If either the Relevant Authority or the Supplier is the defendant in a legal claim brought before a court of competent jurisdiction (“Court”) by a third party in respect of </w:t>
      </w:r>
      <w:r>
        <w:rPr>
          <w:rFonts w:ascii="Arial" w:eastAsia="Arial" w:hAnsi="Arial" w:cs="Arial"/>
          <w:color w:val="000000"/>
          <w:sz w:val="24"/>
          <w:szCs w:val="24"/>
        </w:rPr>
        <w:t>a Personal Data Breach, then unless the Parties otherwise agree, the Party that is determined by the final decision of the court to be responsible for the Personal Data Breach shall be liable for the losses arising from such Personal Data Breach. Where bot</w:t>
      </w:r>
      <w:r>
        <w:rPr>
          <w:rFonts w:ascii="Arial" w:eastAsia="Arial" w:hAnsi="Arial" w:cs="Arial"/>
          <w:color w:val="000000"/>
          <w:sz w:val="24"/>
          <w:szCs w:val="24"/>
        </w:rPr>
        <w:t xml:space="preserve">h Parties are liable, the liability will be apportioned between the Parties in accordance with the decision of the Court.  </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losses, cost claims or expenses incurred by either Party as a result of a Personal Data Breach (the “Claim Losses”</w:t>
      </w:r>
      <w:r>
        <w:rPr>
          <w:rFonts w:ascii="Arial" w:eastAsia="Arial" w:hAnsi="Arial" w:cs="Arial"/>
          <w:color w:val="000000"/>
          <w:sz w:val="24"/>
          <w:szCs w:val="24"/>
        </w:rPr>
        <w:t>):</w:t>
      </w:r>
    </w:p>
    <w:p w:rsidR="00EA7B78" w:rsidRDefault="001149DD">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Relevant Authority is responsible for the relevant Personal Data Breach, then the Relevant Authority shall be responsible for the Claim Losses;</w:t>
      </w:r>
    </w:p>
    <w:p w:rsidR="00EA7B78" w:rsidRDefault="001149DD">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if the Supplier is responsible for the relevant Personal Data Breach, then the Supplier shall be respo</w:t>
      </w:r>
      <w:r>
        <w:rPr>
          <w:rFonts w:ascii="Arial" w:eastAsia="Arial" w:hAnsi="Arial" w:cs="Arial"/>
          <w:sz w:val="24"/>
          <w:szCs w:val="24"/>
        </w:rPr>
        <w:t>nsible for the Claim Losses: and</w:t>
      </w:r>
    </w:p>
    <w:p w:rsidR="00EA7B78" w:rsidRDefault="001149DD">
      <w:pPr>
        <w:numPr>
          <w:ilvl w:val="2"/>
          <w:numId w:val="9"/>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lastRenderedPageBreak/>
        <w:t xml:space="preserve">if responsibility for the relevant Personal Data Breach is unclear, then the Relevant Authority and the Supplier shall be responsible for the Claim Losses equally. </w:t>
      </w:r>
    </w:p>
    <w:p w:rsidR="00EA7B78" w:rsidRDefault="00EA7B78">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Nothing in either clause 7.2 or clause 7.3 shall preclude the Relevant Authority and the Supplier reaching any other agreement, including by way of compromise with a third party complainant or claimant, as to the apportionment of financial responsibility f</w:t>
      </w:r>
      <w:r>
        <w:rPr>
          <w:rFonts w:ascii="Arial" w:eastAsia="Arial" w:hAnsi="Arial" w:cs="Arial"/>
          <w:color w:val="000000"/>
          <w:sz w:val="24"/>
          <w:szCs w:val="24"/>
        </w:rPr>
        <w:t>or any Claim Losses as a result of a Personal Data Breach, having regard to all the circumstances of the Personal Data Breach and the legal and financial obligations of the Relevant Authority.</w:t>
      </w: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b/>
          <w:color w:val="000000"/>
          <w:sz w:val="24"/>
          <w:szCs w:val="24"/>
        </w:rPr>
      </w:pPr>
      <w:r>
        <w:rPr>
          <w:rFonts w:ascii="Arial" w:eastAsia="Arial" w:hAnsi="Arial" w:cs="Arial"/>
          <w:b/>
          <w:color w:val="000000"/>
          <w:sz w:val="24"/>
          <w:szCs w:val="24"/>
        </w:rPr>
        <w:t>Termination</w:t>
      </w:r>
    </w:p>
    <w:p w:rsidR="00EA7B78" w:rsidRDefault="001149DD">
      <w:pPr>
        <w:keepNext/>
        <w:ind w:left="720"/>
        <w:rPr>
          <w:rFonts w:ascii="Arial" w:eastAsia="Arial" w:hAnsi="Arial" w:cs="Arial"/>
          <w:sz w:val="24"/>
          <w:szCs w:val="24"/>
        </w:rPr>
      </w:pPr>
      <w:r>
        <w:rPr>
          <w:rFonts w:ascii="Arial" w:eastAsia="Arial" w:hAnsi="Arial" w:cs="Arial"/>
          <w:sz w:val="24"/>
          <w:szCs w:val="24"/>
        </w:rPr>
        <w:t>If the Supplier is in material Default under any of</w:t>
      </w:r>
      <w:r>
        <w:rPr>
          <w:rFonts w:ascii="Arial" w:eastAsia="Arial" w:hAnsi="Arial" w:cs="Arial"/>
          <w:sz w:val="24"/>
          <w:szCs w:val="24"/>
        </w:rPr>
        <w:t xml:space="preserve"> its obligations under this Annex 2 (</w:t>
      </w:r>
      <w:r>
        <w:rPr>
          <w:rFonts w:ascii="Arial" w:eastAsia="Arial" w:hAnsi="Arial" w:cs="Arial"/>
          <w:i/>
          <w:sz w:val="24"/>
          <w:szCs w:val="24"/>
        </w:rPr>
        <w:t>Joint Controller Agreement</w:t>
      </w:r>
      <w:r>
        <w:rPr>
          <w:rFonts w:ascii="Arial" w:eastAsia="Arial" w:hAnsi="Arial" w:cs="Arial"/>
          <w:sz w:val="24"/>
          <w:szCs w:val="24"/>
        </w:rPr>
        <w:t>), the Relevant Authority shall be entitled to terminate the Contract by issuing a Termination Notice to the Supplier in accordance with Clause 10 of the Core Terms (</w:t>
      </w:r>
      <w:r>
        <w:rPr>
          <w:rFonts w:ascii="Arial" w:eastAsia="Arial" w:hAnsi="Arial" w:cs="Arial"/>
          <w:i/>
          <w:sz w:val="24"/>
          <w:szCs w:val="24"/>
        </w:rPr>
        <w:t>Ending the contract</w:t>
      </w:r>
      <w:r>
        <w:rPr>
          <w:rFonts w:ascii="Arial" w:eastAsia="Arial" w:hAnsi="Arial" w:cs="Arial"/>
          <w:sz w:val="24"/>
          <w:szCs w:val="24"/>
        </w:rPr>
        <w:t>).</w:t>
      </w: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Sub-Processing</w:t>
      </w:r>
    </w:p>
    <w:p w:rsidR="00EA7B78" w:rsidRDefault="001149DD">
      <w:pPr>
        <w:numPr>
          <w:ilvl w:val="3"/>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color w:val="000000"/>
          <w:sz w:val="24"/>
          <w:szCs w:val="24"/>
        </w:rPr>
        <w:t>In respect of any Processing of Personal Data performed by a third party on behalf of a Party, that Party shall:</w:t>
      </w:r>
    </w:p>
    <w:p w:rsidR="00EA7B78" w:rsidRDefault="001149DD">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carry out adequate due diligence on such third party to ensure that it is capable of providing the level of protection for the Personal Data as is required by the Contract, and  provide evidence of such due diligence to the  other Party where reasonably re</w:t>
      </w:r>
      <w:r>
        <w:rPr>
          <w:rFonts w:ascii="Arial" w:eastAsia="Arial" w:hAnsi="Arial" w:cs="Arial"/>
          <w:sz w:val="24"/>
          <w:szCs w:val="24"/>
        </w:rPr>
        <w:t>quested; and</w:t>
      </w:r>
    </w:p>
    <w:p w:rsidR="00EA7B78" w:rsidRDefault="001149DD">
      <w:pPr>
        <w:numPr>
          <w:ilvl w:val="2"/>
          <w:numId w:val="7"/>
        </w:numPr>
        <w:pBdr>
          <w:top w:val="nil"/>
          <w:left w:val="nil"/>
          <w:bottom w:val="nil"/>
          <w:right w:val="nil"/>
          <w:between w:val="nil"/>
        </w:pBdr>
        <w:spacing w:before="280" w:after="120" w:line="240" w:lineRule="auto"/>
        <w:jc w:val="both"/>
        <w:rPr>
          <w:rFonts w:ascii="Arial" w:eastAsia="Arial" w:hAnsi="Arial" w:cs="Arial"/>
          <w:sz w:val="24"/>
          <w:szCs w:val="24"/>
        </w:rPr>
      </w:pPr>
      <w:r>
        <w:rPr>
          <w:rFonts w:ascii="Arial" w:eastAsia="Arial" w:hAnsi="Arial" w:cs="Arial"/>
          <w:sz w:val="24"/>
          <w:szCs w:val="24"/>
        </w:rPr>
        <w:t>ensure that a suitable agreement is in place with the third party as required under applicable Data Protection Legislation.</w:t>
      </w:r>
    </w:p>
    <w:p w:rsidR="00EA7B78" w:rsidRDefault="00EA7B78">
      <w:pPr>
        <w:pBdr>
          <w:top w:val="nil"/>
          <w:left w:val="nil"/>
          <w:bottom w:val="nil"/>
          <w:right w:val="nil"/>
          <w:between w:val="nil"/>
        </w:pBdr>
        <w:spacing w:before="280" w:after="120" w:line="240" w:lineRule="auto"/>
        <w:ind w:left="809"/>
        <w:jc w:val="both"/>
        <w:rPr>
          <w:rFonts w:ascii="Arial" w:eastAsia="Arial" w:hAnsi="Arial" w:cs="Arial"/>
          <w:sz w:val="24"/>
          <w:szCs w:val="24"/>
        </w:rPr>
      </w:pPr>
    </w:p>
    <w:p w:rsidR="00EA7B78" w:rsidRDefault="001149DD">
      <w:pPr>
        <w:numPr>
          <w:ilvl w:val="2"/>
          <w:numId w:val="8"/>
        </w:numPr>
        <w:pBdr>
          <w:top w:val="nil"/>
          <w:left w:val="nil"/>
          <w:bottom w:val="nil"/>
          <w:right w:val="nil"/>
          <w:between w:val="nil"/>
        </w:pBdr>
        <w:spacing w:after="240" w:line="240" w:lineRule="auto"/>
        <w:jc w:val="both"/>
        <w:rPr>
          <w:rFonts w:ascii="Arial" w:eastAsia="Arial" w:hAnsi="Arial" w:cs="Arial"/>
          <w:color w:val="000000"/>
          <w:sz w:val="24"/>
          <w:szCs w:val="24"/>
        </w:rPr>
      </w:pPr>
      <w:r>
        <w:rPr>
          <w:rFonts w:ascii="Arial" w:eastAsia="Arial" w:hAnsi="Arial" w:cs="Arial"/>
          <w:b/>
          <w:color w:val="000000"/>
          <w:sz w:val="24"/>
          <w:szCs w:val="24"/>
        </w:rPr>
        <w:t>Data Retention</w:t>
      </w:r>
    </w:p>
    <w:p w:rsidR="00EA7B78" w:rsidRDefault="001149DD">
      <w:pPr>
        <w:pBdr>
          <w:top w:val="nil"/>
          <w:left w:val="nil"/>
          <w:bottom w:val="nil"/>
          <w:right w:val="nil"/>
          <w:between w:val="nil"/>
        </w:pBdr>
        <w:tabs>
          <w:tab w:val="left" w:pos="-179"/>
        </w:tabs>
        <w:spacing w:after="120" w:line="240" w:lineRule="auto"/>
        <w:ind w:left="720"/>
        <w:jc w:val="both"/>
        <w:rPr>
          <w:rFonts w:ascii="Arial" w:eastAsia="Arial" w:hAnsi="Arial" w:cs="Arial"/>
          <w:b/>
          <w:color w:val="000000"/>
          <w:sz w:val="24"/>
          <w:szCs w:val="24"/>
        </w:rPr>
      </w:pPr>
      <w:r>
        <w:rPr>
          <w:rFonts w:ascii="Arial" w:eastAsia="Arial" w:hAnsi="Arial" w:cs="Arial"/>
          <w:color w:val="000000"/>
          <w:sz w:val="24"/>
          <w:szCs w:val="24"/>
        </w:rPr>
        <w:t>The Parties agree to erase Personal Data from any computers, storage devices and storage media that are to be retained as soon as practicable after it has ceased to be necessary for them to retain such Personal Data under applicable Data Protection Legisla</w:t>
      </w:r>
      <w:r>
        <w:rPr>
          <w:rFonts w:ascii="Arial" w:eastAsia="Arial" w:hAnsi="Arial" w:cs="Arial"/>
          <w:color w:val="000000"/>
          <w:sz w:val="24"/>
          <w:szCs w:val="24"/>
        </w:rPr>
        <w:t>tion and their privacy policy (save to the extent (and for the limited period) that such information needs to be retained by the a Party for statutory compliance purposes or as otherwise required by the Contract), and taking all further actions as may be n</w:t>
      </w:r>
      <w:r>
        <w:rPr>
          <w:rFonts w:ascii="Arial" w:eastAsia="Arial" w:hAnsi="Arial" w:cs="Arial"/>
          <w:color w:val="000000"/>
          <w:sz w:val="24"/>
          <w:szCs w:val="24"/>
        </w:rPr>
        <w:t xml:space="preserve">ecessary to ensure its compliance with Data Protection Legislation and its privacy policy. </w:t>
      </w:r>
    </w:p>
    <w:p w:rsidR="00EA7B78" w:rsidRDefault="00EA7B78">
      <w:pPr>
        <w:pBdr>
          <w:top w:val="nil"/>
          <w:left w:val="nil"/>
          <w:bottom w:val="nil"/>
          <w:right w:val="nil"/>
          <w:between w:val="nil"/>
        </w:pBdr>
        <w:tabs>
          <w:tab w:val="left" w:pos="-179"/>
        </w:tabs>
        <w:spacing w:after="120" w:line="240" w:lineRule="auto"/>
        <w:ind w:left="2160" w:hanging="2160"/>
        <w:jc w:val="both"/>
        <w:rPr>
          <w:rFonts w:ascii="Arial" w:eastAsia="Arial" w:hAnsi="Arial" w:cs="Arial"/>
          <w:color w:val="000000"/>
          <w:sz w:val="24"/>
          <w:szCs w:val="24"/>
        </w:rPr>
      </w:pPr>
    </w:p>
    <w:p w:rsidR="00EA7B78" w:rsidRDefault="00EA7B78">
      <w:pPr>
        <w:keepNext/>
        <w:pBdr>
          <w:top w:val="nil"/>
          <w:left w:val="nil"/>
          <w:bottom w:val="nil"/>
          <w:right w:val="nil"/>
          <w:between w:val="nil"/>
        </w:pBdr>
        <w:spacing w:before="240" w:after="240"/>
        <w:ind w:left="720" w:hanging="720"/>
        <w:jc w:val="both"/>
        <w:rPr>
          <w:rFonts w:ascii="Arial" w:eastAsia="Arial" w:hAnsi="Arial" w:cs="Arial"/>
          <w:b/>
          <w:color w:val="000000"/>
          <w:sz w:val="24"/>
          <w:szCs w:val="24"/>
        </w:rPr>
      </w:pPr>
      <w:bookmarkStart w:id="17" w:name="bookmark=id.1ksv4uv" w:colFirst="0" w:colLast="0"/>
      <w:bookmarkStart w:id="18" w:name="_heading=h.44sinio" w:colFirst="0" w:colLast="0"/>
      <w:bookmarkEnd w:id="17"/>
      <w:bookmarkEnd w:id="18"/>
    </w:p>
    <w:sectPr w:rsidR="00EA7B78">
      <w:headerReference w:type="default" r:id="rId8"/>
      <w:footerReference w:type="default" r:id="rId9"/>
      <w:headerReference w:type="first" r:id="rId10"/>
      <w:footerReference w:type="first" r:id="rId11"/>
      <w:pgSz w:w="11906" w:h="16838"/>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49DD" w:rsidRDefault="001149DD">
      <w:pPr>
        <w:spacing w:after="0" w:line="240" w:lineRule="auto"/>
      </w:pPr>
      <w:r>
        <w:separator/>
      </w:r>
    </w:p>
  </w:endnote>
  <w:endnote w:type="continuationSeparator" w:id="0">
    <w:p w:rsidR="001149DD" w:rsidRDefault="001149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old">
    <w:panose1 w:val="020B0704020202020204"/>
    <w:charset w:val="00"/>
    <w:family w:val="roman"/>
    <w:notTrueType/>
    <w:pitch w:val="default"/>
  </w:font>
  <w:font w:name="STZhongsong">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78" w:rsidRDefault="002C4C15">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RM62</w:t>
    </w:r>
    <w:r w:rsidR="001149DD">
      <w:rPr>
        <w:rFonts w:ascii="Arial" w:eastAsia="Arial" w:hAnsi="Arial" w:cs="Arial"/>
        <w:sz w:val="20"/>
        <w:szCs w:val="20"/>
      </w:rPr>
      <w:t>9</w:t>
    </w:r>
    <w:r>
      <w:rPr>
        <w:rFonts w:ascii="Arial" w:eastAsia="Arial" w:hAnsi="Arial" w:cs="Arial"/>
        <w:sz w:val="20"/>
        <w:szCs w:val="20"/>
      </w:rPr>
      <w:t>0</w:t>
    </w:r>
    <w:r w:rsidR="001149DD">
      <w:rPr>
        <w:rFonts w:ascii="Arial" w:eastAsia="Arial" w:hAnsi="Arial" w:cs="Arial"/>
        <w:sz w:val="20"/>
        <w:szCs w:val="20"/>
      </w:rPr>
      <w:tab/>
    </w:r>
    <w:r w:rsidR="001149DD">
      <w:rPr>
        <w:rFonts w:ascii="Arial" w:eastAsia="Arial" w:hAnsi="Arial" w:cs="Arial"/>
        <w:sz w:val="20"/>
        <w:szCs w:val="20"/>
      </w:rPr>
      <w:t xml:space="preserve">                                           </w:t>
    </w:r>
  </w:p>
  <w:p w:rsidR="00EA7B78" w:rsidRDefault="001149D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2C4C15">
      <w:rPr>
        <w:rFonts w:ascii="Arial" w:eastAsia="Arial" w:hAnsi="Arial" w:cs="Arial"/>
        <w:color w:val="000000"/>
        <w:sz w:val="20"/>
        <w:szCs w:val="20"/>
      </w:rPr>
      <w:fldChar w:fldCharType="separate"/>
    </w:r>
    <w:r w:rsidR="002C4C15">
      <w:rPr>
        <w:rFonts w:ascii="Arial" w:eastAsia="Arial" w:hAnsi="Arial" w:cs="Arial"/>
        <w:noProof/>
        <w:color w:val="000000"/>
        <w:sz w:val="20"/>
        <w:szCs w:val="20"/>
      </w:rPr>
      <w:t>6</w:t>
    </w:r>
    <w:r>
      <w:rPr>
        <w:rFonts w:ascii="Arial" w:eastAsia="Arial" w:hAnsi="Arial" w:cs="Arial"/>
        <w:color w:val="000000"/>
        <w:sz w:val="20"/>
        <w:szCs w:val="20"/>
      </w:rPr>
      <w:fldChar w:fldCharType="end"/>
    </w:r>
    <w:r>
      <w:rPr>
        <w:rFonts w:ascii="Arial" w:eastAsia="Arial" w:hAnsi="Arial" w:cs="Arial"/>
        <w:color w:val="000000"/>
        <w:sz w:val="20"/>
        <w:szCs w:val="20"/>
      </w:rPr>
      <w:t>-</w:t>
    </w:r>
  </w:p>
  <w:p w:rsidR="00EA7B78" w:rsidRDefault="001149DD">
    <w:pPr>
      <w:spacing w:after="0"/>
    </w:pPr>
    <w:r>
      <w:rPr>
        <w:rFonts w:ascii="Arial" w:eastAsia="Arial" w:hAnsi="Arial" w:cs="Arial"/>
        <w:sz w:val="20"/>
        <w:szCs w:val="20"/>
      </w:rPr>
      <w:t>Model Version: v4.4</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78" w:rsidRDefault="001149DD">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w:t>
    </w:r>
    <w:r>
      <w:rPr>
        <w:rFonts w:ascii="Arial" w:eastAsia="Arial" w:hAnsi="Arial" w:cs="Arial"/>
        <w:sz w:val="20"/>
        <w:szCs w:val="20"/>
      </w:rPr>
      <w:tab/>
      <w:t xml:space="preserve">                                           </w:t>
    </w:r>
  </w:p>
  <w:p w:rsidR="00EA7B78" w:rsidRDefault="001149D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Project Version: v1.0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tab/>
      <w:t xml:space="preserv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end"/>
    </w:r>
    <w:r>
      <w:rPr>
        <w:rFonts w:ascii="Arial" w:eastAsia="Arial" w:hAnsi="Arial" w:cs="Arial"/>
        <w:color w:val="000000"/>
        <w:sz w:val="20"/>
        <w:szCs w:val="20"/>
      </w:rPr>
      <w:t>-</w:t>
    </w:r>
  </w:p>
  <w:p w:rsidR="00EA7B78" w:rsidRDefault="001149DD">
    <w:pPr>
      <w:spacing w:after="0"/>
    </w:pPr>
    <w:r>
      <w:rPr>
        <w:rFonts w:ascii="Arial" w:eastAsia="Arial" w:hAnsi="Arial" w:cs="Arial"/>
        <w:sz w:val="20"/>
        <w:szCs w:val="20"/>
      </w:rPr>
      <w:t>Model Version: v3.0</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49DD" w:rsidRDefault="001149DD">
      <w:pPr>
        <w:spacing w:after="0" w:line="240" w:lineRule="auto"/>
      </w:pPr>
      <w:r>
        <w:separator/>
      </w:r>
    </w:p>
  </w:footnote>
  <w:footnote w:type="continuationSeparator" w:id="0">
    <w:p w:rsidR="001149DD" w:rsidRDefault="001149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78" w:rsidRDefault="001149DD">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Joint Schedule 11 (Processing Data)</w:t>
    </w:r>
  </w:p>
  <w:p w:rsidR="00EA7B78" w:rsidRDefault="001149D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Crown Copyright</w:t>
    </w:r>
    <w:r>
      <w:rPr>
        <w:rFonts w:ascii="Arial" w:eastAsia="Arial" w:hAnsi="Arial" w:cs="Arial"/>
        <w:color w:val="000000"/>
        <w:sz w:val="14"/>
        <w:szCs w:val="14"/>
      </w:rPr>
      <w:t xml:space="preserve"> </w:t>
    </w:r>
    <w:r>
      <w:rPr>
        <w:rFonts w:ascii="Arial" w:eastAsia="Arial" w:hAnsi="Arial" w:cs="Arial"/>
        <w:color w:val="000000"/>
        <w:sz w:val="20"/>
        <w:szCs w:val="20"/>
      </w:rPr>
      <w:t>2018</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7B78" w:rsidRDefault="001149DD">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5714365</wp:posOffset>
          </wp:positionH>
          <wp:positionV relativeFrom="paragraph">
            <wp:posOffset>-13331</wp:posOffset>
          </wp:positionV>
          <wp:extent cx="849085" cy="685627"/>
          <wp:effectExtent l="0" t="0" r="0" b="0"/>
          <wp:wrapNone/>
          <wp:docPr id="4" name="image1.png" descr="Crown Commercial Service"/>
          <wp:cNvGraphicFramePr/>
          <a:graphic xmlns:a="http://schemas.openxmlformats.org/drawingml/2006/main">
            <a:graphicData uri="http://schemas.openxmlformats.org/drawingml/2006/picture">
              <pic:pic xmlns:pic="http://schemas.openxmlformats.org/drawingml/2006/picture">
                <pic:nvPicPr>
                  <pic:cNvPr id="0" name="image1.png" descr="Crown Commercial Service"/>
                  <pic:cNvPicPr preferRelativeResize="0"/>
                </pic:nvPicPr>
                <pic:blipFill>
                  <a:blip r:embed="rId1"/>
                  <a:srcRect/>
                  <a:stretch>
                    <a:fillRect/>
                  </a:stretch>
                </pic:blipFill>
                <pic:spPr>
                  <a:xfrm>
                    <a:off x="0" y="0"/>
                    <a:ext cx="849085" cy="685627"/>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869CB"/>
    <w:multiLevelType w:val="multilevel"/>
    <w:tmpl w:val="B34ACDE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1" w15:restartNumberingAfterBreak="0">
    <w:nsid w:val="17BD645B"/>
    <w:multiLevelType w:val="multilevel"/>
    <w:tmpl w:val="71206618"/>
    <w:lvl w:ilvl="0">
      <w:start w:val="23"/>
      <w:numFmt w:val="decimal"/>
      <w:pStyle w:val="Schedule"/>
      <w:lvlText w:val="%1"/>
      <w:lvlJc w:val="left"/>
      <w:pPr>
        <w:ind w:left="709" w:hanging="709"/>
      </w:pPr>
      <w:rPr>
        <w:b/>
      </w:rPr>
    </w:lvl>
    <w:lvl w:ilvl="1">
      <w:start w:val="1"/>
      <w:numFmt w:val="decimal"/>
      <w:pStyle w:val="Part"/>
      <w:lvlText w:val="%2."/>
      <w:lvlJc w:val="left"/>
      <w:pPr>
        <w:ind w:left="709" w:hanging="709"/>
      </w:pPr>
      <w:rPr>
        <w:b w:val="0"/>
        <w:i w:val="0"/>
        <w:color w:val="000000"/>
        <w:sz w:val="22"/>
        <w:szCs w:val="22"/>
      </w:rPr>
    </w:lvl>
    <w:lvl w:ilvl="2">
      <w:start w:val="1"/>
      <w:numFmt w:val="lowerLetter"/>
      <w:pStyle w:val="ScheduleTitleClause"/>
      <w:lvlText w:val="(%3)"/>
      <w:lvlJc w:val="left"/>
      <w:pPr>
        <w:ind w:left="809" w:hanging="709"/>
      </w:pPr>
      <w:rPr>
        <w:b w:val="0"/>
        <w:i w:val="0"/>
        <w:sz w:val="22"/>
        <w:szCs w:val="22"/>
      </w:rPr>
    </w:lvl>
    <w:lvl w:ilvl="3">
      <w:start w:val="1"/>
      <w:numFmt w:val="lowerRoman"/>
      <w:pStyle w:val="ScheduleUntitledsubclause1"/>
      <w:lvlText w:val="(%4)"/>
      <w:lvlJc w:val="left"/>
      <w:pPr>
        <w:ind w:left="2126" w:hanging="708"/>
      </w:pPr>
      <w:rPr>
        <w:b w:val="0"/>
        <w:i w:val="0"/>
        <w:sz w:val="22"/>
        <w:szCs w:val="22"/>
      </w:rPr>
    </w:lvl>
    <w:lvl w:ilvl="4">
      <w:start w:val="1"/>
      <w:numFmt w:val="upperLetter"/>
      <w:pStyle w:val="ScheduleUntitledsubclause2"/>
      <w:lvlText w:val="(%5)"/>
      <w:lvlJc w:val="left"/>
      <w:pPr>
        <w:ind w:left="2836" w:hanging="709"/>
      </w:pPr>
      <w:rPr>
        <w:b w:val="0"/>
        <w:i w:val="0"/>
      </w:rPr>
    </w:lvl>
    <w:lvl w:ilvl="5">
      <w:start w:val="1"/>
      <w:numFmt w:val="decimal"/>
      <w:pStyle w:val="ScheduleUntitledsubclause3"/>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2" w15:restartNumberingAfterBreak="0">
    <w:nsid w:val="1C6C0DC3"/>
    <w:multiLevelType w:val="multilevel"/>
    <w:tmpl w:val="6AEC7068"/>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3" w15:restartNumberingAfterBreak="0">
    <w:nsid w:val="24115C43"/>
    <w:multiLevelType w:val="multilevel"/>
    <w:tmpl w:val="5D04E9E6"/>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4" w15:restartNumberingAfterBreak="0">
    <w:nsid w:val="33E75754"/>
    <w:multiLevelType w:val="multilevel"/>
    <w:tmpl w:val="D65AE672"/>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4206363"/>
    <w:multiLevelType w:val="multilevel"/>
    <w:tmpl w:val="48E86EE4"/>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6" w15:restartNumberingAfterBreak="0">
    <w:nsid w:val="3C3D413C"/>
    <w:multiLevelType w:val="multilevel"/>
    <w:tmpl w:val="A33E0BD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7" w15:restartNumberingAfterBreak="0">
    <w:nsid w:val="44471435"/>
    <w:multiLevelType w:val="multilevel"/>
    <w:tmpl w:val="DA22043C"/>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8" w15:restartNumberingAfterBreak="0">
    <w:nsid w:val="450E7697"/>
    <w:multiLevelType w:val="multilevel"/>
    <w:tmpl w:val="A83A46E2"/>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abstractNum w:abstractNumId="9" w15:restartNumberingAfterBreak="0">
    <w:nsid w:val="52B06E1D"/>
    <w:multiLevelType w:val="multilevel"/>
    <w:tmpl w:val="1C9017A6"/>
    <w:lvl w:ilvl="0">
      <w:start w:val="1"/>
      <w:numFmt w:val="decimal"/>
      <w:pStyle w:val="ABackground"/>
      <w:lvlText w:val="%1."/>
      <w:lvlJc w:val="left"/>
      <w:pPr>
        <w:tabs>
          <w:tab w:val="num" w:pos="720"/>
        </w:tabs>
        <w:ind w:left="720" w:hanging="720"/>
      </w:pPr>
    </w:lvl>
    <w:lvl w:ilvl="1">
      <w:start w:val="1"/>
      <w:numFmt w:val="decimal"/>
      <w:pStyle w:val="BackSubClause"/>
      <w:lvlText w:val="%2."/>
      <w:lvlJc w:val="left"/>
      <w:pPr>
        <w:tabs>
          <w:tab w:val="num" w:pos="1440"/>
        </w:tabs>
        <w:ind w:left="1440" w:hanging="720"/>
      </w:pPr>
    </w:lvl>
    <w:lvl w:ilvl="2">
      <w:start w:val="1"/>
      <w:numFmt w:val="decimal"/>
      <w:pStyle w:val="TLTLevel3"/>
      <w:lvlText w:val="%3."/>
      <w:lvlJc w:val="left"/>
      <w:pPr>
        <w:tabs>
          <w:tab w:val="num" w:pos="2160"/>
        </w:tabs>
        <w:ind w:left="2160" w:hanging="720"/>
      </w:pPr>
    </w:lvl>
    <w:lvl w:ilvl="3">
      <w:start w:val="1"/>
      <w:numFmt w:val="decimal"/>
      <w:pStyle w:val="TLTLevel4"/>
      <w:lvlText w:val="%4."/>
      <w:lvlJc w:val="left"/>
      <w:pPr>
        <w:tabs>
          <w:tab w:val="num" w:pos="2880"/>
        </w:tabs>
        <w:ind w:left="2880" w:hanging="720"/>
      </w:pPr>
    </w:lvl>
    <w:lvl w:ilvl="4">
      <w:start w:val="1"/>
      <w:numFmt w:val="decimal"/>
      <w:pStyle w:val="TLTLevel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76B74CD"/>
    <w:multiLevelType w:val="multilevel"/>
    <w:tmpl w:val="7CBE1C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AE5362"/>
    <w:multiLevelType w:val="multilevel"/>
    <w:tmpl w:val="2EC0E6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17464A"/>
    <w:multiLevelType w:val="multilevel"/>
    <w:tmpl w:val="74DEC4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9971CC1"/>
    <w:multiLevelType w:val="multilevel"/>
    <w:tmpl w:val="BE7040BE"/>
    <w:lvl w:ilvl="0">
      <w:start w:val="23"/>
      <w:numFmt w:val="decimal"/>
      <w:lvlText w:val="%1"/>
      <w:lvlJc w:val="left"/>
      <w:pPr>
        <w:ind w:left="709" w:hanging="709"/>
      </w:pPr>
      <w:rPr>
        <w:b/>
      </w:rPr>
    </w:lvl>
    <w:lvl w:ilvl="1">
      <w:start w:val="1"/>
      <w:numFmt w:val="decimal"/>
      <w:lvlText w:val="%2."/>
      <w:lvlJc w:val="left"/>
      <w:pPr>
        <w:ind w:left="709" w:hanging="709"/>
      </w:pPr>
      <w:rPr>
        <w:b w:val="0"/>
        <w:i w:val="0"/>
        <w:color w:val="000000"/>
        <w:sz w:val="22"/>
        <w:szCs w:val="22"/>
      </w:rPr>
    </w:lvl>
    <w:lvl w:ilvl="2">
      <w:start w:val="1"/>
      <w:numFmt w:val="lowerLetter"/>
      <w:lvlText w:val="(%3)"/>
      <w:lvlJc w:val="left"/>
      <w:pPr>
        <w:ind w:left="809" w:hanging="709"/>
      </w:pPr>
      <w:rPr>
        <w:b w:val="0"/>
        <w:i w:val="0"/>
        <w:sz w:val="22"/>
        <w:szCs w:val="22"/>
      </w:rPr>
    </w:lvl>
    <w:lvl w:ilvl="3">
      <w:start w:val="1"/>
      <w:numFmt w:val="lowerRoman"/>
      <w:lvlText w:val="(%4)"/>
      <w:lvlJc w:val="left"/>
      <w:pPr>
        <w:ind w:left="2126" w:hanging="708"/>
      </w:pPr>
      <w:rPr>
        <w:b w:val="0"/>
        <w:i w:val="0"/>
        <w:sz w:val="22"/>
        <w:szCs w:val="22"/>
      </w:rPr>
    </w:lvl>
    <w:lvl w:ilvl="4">
      <w:start w:val="1"/>
      <w:numFmt w:val="upperLetter"/>
      <w:lvlText w:val="(%5)"/>
      <w:lvlJc w:val="left"/>
      <w:pPr>
        <w:ind w:left="2836" w:hanging="709"/>
      </w:pPr>
      <w:rPr>
        <w:b w:val="0"/>
        <w:i w:val="0"/>
      </w:rPr>
    </w:lvl>
    <w:lvl w:ilvl="5">
      <w:start w:val="1"/>
      <w:numFmt w:val="decimal"/>
      <w:lvlText w:val="%6)"/>
      <w:lvlJc w:val="left"/>
      <w:pPr>
        <w:ind w:left="3544" w:hanging="708"/>
      </w:pPr>
    </w:lvl>
    <w:lvl w:ilvl="6">
      <w:start w:val="1"/>
      <w:numFmt w:val="decimal"/>
      <w:lvlText w:val="%7%3)"/>
      <w:lvlJc w:val="left"/>
      <w:pPr>
        <w:ind w:left="2714" w:hanging="1296"/>
      </w:pPr>
    </w:lvl>
    <w:lvl w:ilvl="7">
      <w:start w:val="1"/>
      <w:numFmt w:val="lowerRoman"/>
      <w:lvlText w:val="%8)"/>
      <w:lvlJc w:val="left"/>
      <w:pPr>
        <w:ind w:left="2858" w:hanging="1440"/>
      </w:pPr>
    </w:lvl>
    <w:lvl w:ilvl="8">
      <w:start w:val="1"/>
      <w:numFmt w:val="upperLetter"/>
      <w:lvlText w:val="%9)"/>
      <w:lvlJc w:val="left"/>
      <w:pPr>
        <w:ind w:left="3002" w:hanging="1584"/>
      </w:pPr>
    </w:lvl>
  </w:abstractNum>
  <w:num w:numId="1">
    <w:abstractNumId w:val="1"/>
  </w:num>
  <w:num w:numId="2">
    <w:abstractNumId w:val="2"/>
  </w:num>
  <w:num w:numId="3">
    <w:abstractNumId w:val="13"/>
  </w:num>
  <w:num w:numId="4">
    <w:abstractNumId w:val="0"/>
  </w:num>
  <w:num w:numId="5">
    <w:abstractNumId w:val="7"/>
  </w:num>
  <w:num w:numId="6">
    <w:abstractNumId w:val="12"/>
  </w:num>
  <w:num w:numId="7">
    <w:abstractNumId w:val="6"/>
  </w:num>
  <w:num w:numId="8">
    <w:abstractNumId w:val="4"/>
  </w:num>
  <w:num w:numId="9">
    <w:abstractNumId w:val="3"/>
  </w:num>
  <w:num w:numId="10">
    <w:abstractNumId w:val="11"/>
  </w:num>
  <w:num w:numId="11">
    <w:abstractNumId w:val="10"/>
  </w:num>
  <w:num w:numId="12">
    <w:abstractNumId w:val="5"/>
  </w:num>
  <w:num w:numId="13">
    <w:abstractNumId w:val="8"/>
  </w:num>
  <w:num w:numId="14">
    <w:abstractNumId w:val="9"/>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B78"/>
    <w:rsid w:val="001149DD"/>
    <w:rsid w:val="002C4C15"/>
    <w:rsid w:val="00EA7B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38B0"/>
  <w15:docId w15:val="{5131A829-30C0-4AD9-8D64-F12837212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56D"/>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2,1,o,section"/>
    <w:basedOn w:val="Normal"/>
    <w:link w:val="Heading1Char"/>
    <w:uiPriority w:val="9"/>
    <w:qFormat/>
    <w:rsid w:val="002404A4"/>
    <w:pPr>
      <w:tabs>
        <w:tab w:val="num" w:pos="720"/>
      </w:tabs>
      <w:spacing w:after="240" w:line="240" w:lineRule="auto"/>
      <w:ind w:left="567" w:hanging="567"/>
      <w:jc w:val="both"/>
      <w:outlineLvl w:val="0"/>
    </w:pPr>
    <w:rPr>
      <w:rFonts w:ascii="Arial" w:hAnsi="Arial" w:cs="Arial"/>
      <w:lang w:eastAsia="zh-CN"/>
    </w:rPr>
  </w:style>
  <w:style w:type="paragraph" w:styleId="Heading2">
    <w:name w:val="heading 2"/>
    <w:aliases w:val="KJL:1st Level,Numbered - 2,h2,1.1.1 heading,Reset numbering,PARA2,S Heading,S Heading 2,PA Major Section,Major heading,h 3,Heading Two,(1.1,1.2,1.3 etc),Prophead 2,RFP Heading 2,Activity,l2,H2,Major,Project 2,RFS 2,Heading 2 Number,Heading 2a"/>
    <w:basedOn w:val="Normal"/>
    <w:next w:val="Normal"/>
    <w:link w:val="Heading2Char"/>
    <w:uiPriority w:val="9"/>
    <w:qFormat/>
    <w:rsid w:val="00D50719"/>
    <w:pPr>
      <w:keepNext/>
      <w:keepLines/>
      <w:pBdr>
        <w:top w:val="nil"/>
        <w:left w:val="nil"/>
        <w:bottom w:val="nil"/>
        <w:right w:val="nil"/>
        <w:between w:val="nil"/>
      </w:pBdr>
      <w:spacing w:before="200" w:after="0" w:line="240" w:lineRule="auto"/>
      <w:outlineLvl w:val="1"/>
    </w:pPr>
    <w:rPr>
      <w:rFonts w:ascii="Cambria" w:eastAsia="Cambria" w:hAnsi="Cambria" w:cs="Cambria"/>
      <w:b/>
      <w:color w:val="000000"/>
      <w:sz w:val="26"/>
      <w:szCs w:val="26"/>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next w:val="Normal"/>
    <w:link w:val="Heading3Char"/>
    <w:uiPriority w:val="9"/>
    <w:qFormat/>
    <w:rsid w:val="00D50719"/>
    <w:pPr>
      <w:keepNext/>
      <w:keepLines/>
      <w:pBdr>
        <w:top w:val="nil"/>
        <w:left w:val="nil"/>
        <w:bottom w:val="nil"/>
        <w:right w:val="nil"/>
        <w:between w:val="nil"/>
      </w:pBdr>
      <w:spacing w:before="200" w:after="0" w:line="240" w:lineRule="auto"/>
      <w:outlineLvl w:val="2"/>
    </w:pPr>
    <w:rPr>
      <w:rFonts w:ascii="Cambria" w:eastAsia="Cambria" w:hAnsi="Cambria" w:cs="Cambria"/>
      <w:b/>
      <w:color w:val="000000"/>
    </w:rPr>
  </w:style>
  <w:style w:type="paragraph" w:styleId="Heading4">
    <w:name w:val="heading 4"/>
    <w:aliases w:val="n,h4,h4 sub sub heading,D Sub-Sub/Plain,Level 2 - (a),Level 2 - a,GPH Heading 4,Schedules,Second Level Heading HM,Subhead C,Sub-Minor,H4,dash,4,14,l4,141,h41,l41,41,142,h42,l42,h43,a.,Map Title,42,parapoint,¶,143,h44,l43,43,1411,h411,l411,411"/>
    <w:basedOn w:val="Normal"/>
    <w:link w:val="Heading4Char"/>
    <w:uiPriority w:val="9"/>
    <w:semiHidden/>
    <w:unhideWhenUsed/>
    <w:qFormat/>
    <w:rsid w:val="002404A4"/>
    <w:pPr>
      <w:tabs>
        <w:tab w:val="num" w:pos="2268"/>
      </w:tabs>
      <w:spacing w:after="240" w:line="240" w:lineRule="auto"/>
      <w:ind w:left="2268" w:hanging="850"/>
      <w:jc w:val="both"/>
      <w:outlineLvl w:val="3"/>
    </w:pPr>
    <w:rPr>
      <w:rFonts w:ascii="Arial" w:hAnsi="Arial" w:cs="Arial"/>
      <w:lang w:eastAsia="zh-CN"/>
    </w:rPr>
  </w:style>
  <w:style w:type="paragraph" w:styleId="Heading5">
    <w:name w:val="heading 5"/>
    <w:aliases w:val="Heading 5(unused),Level 3 - (i),Third Level Heading,h5,Response Type,Response Type1,Response Type2,Response Type3,Response Type4,Response Type5,Response Type6,Response Type7,Appendix A to X,Heading 5   Appendix A to X,H5,Subheading,l5,Lev 5"/>
    <w:basedOn w:val="Normal"/>
    <w:link w:val="Heading5Char"/>
    <w:uiPriority w:val="9"/>
    <w:semiHidden/>
    <w:unhideWhenUsed/>
    <w:qFormat/>
    <w:rsid w:val="002404A4"/>
    <w:pPr>
      <w:tabs>
        <w:tab w:val="num" w:pos="1985"/>
      </w:tabs>
      <w:spacing w:after="240" w:line="240" w:lineRule="auto"/>
      <w:ind w:left="1985" w:hanging="567"/>
      <w:jc w:val="both"/>
      <w:outlineLvl w:val="4"/>
    </w:pPr>
    <w:rPr>
      <w:rFonts w:ascii="Arial" w:hAnsi="Arial" w:cs="Arial"/>
      <w:lang w:eastAsia="zh-CN"/>
    </w:rPr>
  </w:style>
  <w:style w:type="paragraph" w:styleId="Heading6">
    <w:name w:val="heading 6"/>
    <w:aliases w:val="Legal Level 1.,Lev 6,Heading 6  Appendix Y &amp; Z,Heading 6(unused),L1 PIP,h6,H6,H61,H62,H63,H64,H65,H66,H67,H68,H69,H610,H611,H612,H613,H614,H615,H616,H617,H618,H619,H621,H631,H641,H651,H661,H671,H681,H691,H6101,H6111,H6121,H6131,H6141,H6151,PR1"/>
    <w:basedOn w:val="Normal"/>
    <w:link w:val="Heading6Char"/>
    <w:uiPriority w:val="9"/>
    <w:semiHidden/>
    <w:unhideWhenUsed/>
    <w:qFormat/>
    <w:rsid w:val="002404A4"/>
    <w:pPr>
      <w:tabs>
        <w:tab w:val="num" w:pos="4320"/>
      </w:tabs>
      <w:spacing w:after="240" w:line="240" w:lineRule="auto"/>
      <w:ind w:left="4320" w:hanging="720"/>
      <w:jc w:val="both"/>
      <w:outlineLvl w:val="5"/>
    </w:pPr>
    <w:rPr>
      <w:rFonts w:ascii="Arial" w:hAnsi="Arial" w:cs="Arial"/>
      <w:lang w:eastAsia="zh-CN"/>
    </w:rPr>
  </w:style>
  <w:style w:type="paragraph" w:styleId="Heading7">
    <w:name w:val="heading 7"/>
    <w:aliases w:val="Legal Level 1.1.,Lev 7,Heading 7(unused),L2 PIP,H7DO NOT USE,PA Appendix Major,Blank 3,Heading 7 (Do Not Use),Comments,Cover"/>
    <w:basedOn w:val="Normal"/>
    <w:link w:val="Heading7Char"/>
    <w:uiPriority w:val="9"/>
    <w:semiHidden/>
    <w:unhideWhenUsed/>
    <w:qFormat/>
    <w:rsid w:val="002404A4"/>
    <w:pPr>
      <w:tabs>
        <w:tab w:val="num" w:pos="5040"/>
      </w:tabs>
      <w:spacing w:after="240" w:line="240" w:lineRule="auto"/>
      <w:ind w:left="5040" w:hanging="720"/>
      <w:jc w:val="both"/>
      <w:outlineLvl w:val="6"/>
    </w:pPr>
    <w:rPr>
      <w:rFonts w:ascii="Times New Roman" w:hAnsi="Times New Roman" w:cs="Times New Roman"/>
      <w:lang w:eastAsia="zh-CN"/>
    </w:rPr>
  </w:style>
  <w:style w:type="paragraph" w:styleId="Heading8">
    <w:name w:val="heading 8"/>
    <w:aliases w:val="Heading 8 (Do Not Use),Legal Level 1.1.1.,Lev 8,h8 DO NOT USE,PA Appendix Minor,Blank 4,code/paths"/>
    <w:basedOn w:val="Normal"/>
    <w:link w:val="Heading8Char"/>
    <w:uiPriority w:val="9"/>
    <w:semiHidden/>
    <w:unhideWhenUsed/>
    <w:qFormat/>
    <w:rsid w:val="002404A4"/>
    <w:pPr>
      <w:tabs>
        <w:tab w:val="num" w:pos="5040"/>
      </w:tabs>
      <w:spacing w:after="240" w:line="240" w:lineRule="auto"/>
      <w:ind w:left="5040" w:hanging="720"/>
      <w:jc w:val="both"/>
      <w:outlineLvl w:val="7"/>
    </w:pPr>
    <w:rPr>
      <w:rFonts w:ascii="Times New Roman" w:hAnsi="Times New Roman" w:cs="Times New Roman"/>
      <w:lang w:eastAsia="zh-CN"/>
    </w:rPr>
  </w:style>
  <w:style w:type="paragraph" w:styleId="Heading9">
    <w:name w:val="heading 9"/>
    <w:aliases w:val="Heading 9 (Do Not Use),Heading 9 (defunct),Legal Level 1.1.1.1.,Lev 9,h9 DO NOT USE,App Heading,Titre 10,App1,Blank 5,appendix,Appendix,h9"/>
    <w:basedOn w:val="Normal"/>
    <w:link w:val="Heading9Char"/>
    <w:uiPriority w:val="9"/>
    <w:semiHidden/>
    <w:unhideWhenUsed/>
    <w:qFormat/>
    <w:rsid w:val="002404A4"/>
    <w:pPr>
      <w:tabs>
        <w:tab w:val="num" w:pos="5040"/>
      </w:tabs>
      <w:spacing w:after="240" w:line="240" w:lineRule="auto"/>
      <w:ind w:left="5040" w:hanging="720"/>
      <w:jc w:val="both"/>
      <w:outlineLvl w:val="8"/>
    </w:pPr>
    <w:rPr>
      <w:rFonts w:ascii="Times New Roman"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Emphasis">
    <w:name w:val="Emphasis"/>
    <w:basedOn w:val="DefaultParagraphFont"/>
    <w:rPr>
      <w:i/>
      <w:iCs/>
    </w:rPr>
  </w:style>
  <w:style w:type="paragraph" w:customStyle="1" w:styleId="GPSSchTitleandNumber">
    <w:name w:val="GPS Sch Title and Number"/>
    <w:basedOn w:val="Normal"/>
    <w:link w:val="GPSSchTitleandNumberChar"/>
    <w:qFormat/>
    <w:pPr>
      <w:keepNext/>
      <w:adjustRightInd w:val="0"/>
      <w:spacing w:after="240" w:line="240" w:lineRule="auto"/>
      <w:jc w:val="center"/>
      <w:outlineLvl w:val="0"/>
    </w:pPr>
    <w:rPr>
      <w:rFonts w:ascii="Arial Bold" w:eastAsia="STZhongsong" w:hAnsi="Arial Bold" w:cs="Times New Roman"/>
      <w:b/>
      <w:caps/>
      <w:lang w:eastAsia="zh-CN"/>
    </w:rPr>
  </w:style>
  <w:style w:type="character" w:customStyle="1" w:styleId="GPSSchTitleandNumberChar">
    <w:name w:val="GPS Sch Title and Number Char"/>
    <w:link w:val="GPSSchTitleandNumber"/>
    <w:rPr>
      <w:rFonts w:ascii="Arial Bold" w:eastAsia="STZhongsong" w:hAnsi="Arial Bold" w:cs="Times New Roman"/>
      <w:b/>
      <w:caps/>
      <w:lang w:eastAsia="zh-CN"/>
    </w:rPr>
  </w:style>
  <w:style w:type="paragraph" w:customStyle="1" w:styleId="TSOLScheduleAnnexName">
    <w:name w:val="TSOL Schedule Annex Name"/>
    <w:qFormat/>
    <w:pPr>
      <w:spacing w:after="240" w:line="240" w:lineRule="auto"/>
      <w:jc w:val="center"/>
      <w:outlineLvl w:val="1"/>
    </w:pPr>
    <w:rPr>
      <w:rFonts w:eastAsia="STZhongsong" w:cs="Arial"/>
      <w:b/>
      <w:caps/>
      <w:lang w:eastAsia="zh-CN"/>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Normal1">
    <w:name w:val="Normal1"/>
    <w:pPr>
      <w:widowControl w:val="0"/>
      <w:spacing w:after="80" w:line="240" w:lineRule="auto"/>
    </w:pPr>
    <w:rPr>
      <w:color w:val="000000"/>
    </w:rPr>
  </w:style>
  <w:style w:type="table" w:styleId="TableGrid">
    <w:name w:val="Table Grid"/>
    <w:basedOn w:val="TableNormal"/>
    <w:uiPriority w:val="59"/>
    <w:pPr>
      <w:spacing w:after="0" w:line="240" w:lineRule="auto"/>
    </w:pPr>
    <w:rPr>
      <w:rFonts w:cs="Times New Roman"/>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GPSL2Numbered">
    <w:name w:val="GPS L2 Numbered"/>
    <w:basedOn w:val="Normal"/>
    <w:link w:val="GPSL2NumberedChar"/>
    <w:qFormat/>
    <w:pPr>
      <w:tabs>
        <w:tab w:val="left" w:pos="709"/>
        <w:tab w:val="left" w:pos="1134"/>
      </w:tabs>
      <w:adjustRightInd w:val="0"/>
      <w:spacing w:before="120" w:after="120" w:line="240" w:lineRule="auto"/>
      <w:jc w:val="both"/>
    </w:pPr>
    <w:rPr>
      <w:rFonts w:eastAsia="Times New Roman" w:cs="Arial"/>
      <w:lang w:eastAsia="zh-CN"/>
    </w:rPr>
  </w:style>
  <w:style w:type="character" w:customStyle="1" w:styleId="GPSL2NumberedChar">
    <w:name w:val="GPS L2 Numbered Char"/>
    <w:link w:val="GPSL2Numbered"/>
    <w:locked/>
    <w:rPr>
      <w:rFonts w:ascii="Calibri" w:eastAsia="Times New Roman" w:hAnsi="Calibri" w:cs="Arial"/>
      <w:lang w:eastAsia="zh-CN"/>
    </w:rPr>
  </w:style>
  <w:style w:type="paragraph" w:styleId="Revision">
    <w:name w:val="Revision"/>
    <w:hidden/>
    <w:uiPriority w:val="99"/>
    <w:semiHidden/>
    <w:rsid w:val="00F42B75"/>
    <w:pPr>
      <w:spacing w:after="0" w:line="240" w:lineRule="auto"/>
    </w:pPr>
  </w:style>
  <w:style w:type="paragraph" w:customStyle="1" w:styleId="ScheduleTitleClause">
    <w:name w:val="Schedule Title Clause"/>
    <w:basedOn w:val="Normal"/>
    <w:rsid w:val="002771AA"/>
    <w:pPr>
      <w:keepNext/>
      <w:numPr>
        <w:ilvl w:val="2"/>
        <w:numId w:val="1"/>
      </w:numPr>
      <w:spacing w:before="240" w:after="240" w:line="300" w:lineRule="atLeast"/>
      <w:jc w:val="both"/>
      <w:outlineLvl w:val="0"/>
    </w:pPr>
    <w:rPr>
      <w:rFonts w:ascii="Arial" w:eastAsia="Times New Roman" w:hAnsi="Arial" w:cs="Times New Roman"/>
      <w:b/>
      <w:color w:val="000000"/>
      <w:kern w:val="28"/>
      <w:szCs w:val="20"/>
    </w:rPr>
  </w:style>
  <w:style w:type="paragraph" w:customStyle="1" w:styleId="ScheduleUntitledsubclause1">
    <w:name w:val="Schedule Untitled subclause 1"/>
    <w:basedOn w:val="Normal"/>
    <w:rsid w:val="002771AA"/>
    <w:pPr>
      <w:numPr>
        <w:ilvl w:val="3"/>
        <w:numId w:val="1"/>
      </w:numPr>
      <w:spacing w:before="280" w:after="120" w:line="300" w:lineRule="atLeast"/>
      <w:jc w:val="both"/>
      <w:outlineLvl w:val="1"/>
    </w:pPr>
    <w:rPr>
      <w:rFonts w:ascii="Arial" w:eastAsia="Times New Roman" w:hAnsi="Arial" w:cs="Times New Roman"/>
      <w:color w:val="000000"/>
      <w:szCs w:val="20"/>
    </w:rPr>
  </w:style>
  <w:style w:type="paragraph" w:customStyle="1" w:styleId="ScheduleUntitledsubclause2">
    <w:name w:val="Schedule Untitled subclause 2"/>
    <w:basedOn w:val="Normal"/>
    <w:rsid w:val="002771AA"/>
    <w:pPr>
      <w:numPr>
        <w:ilvl w:val="4"/>
        <w:numId w:val="1"/>
      </w:numPr>
      <w:spacing w:after="120" w:line="300" w:lineRule="atLeast"/>
      <w:jc w:val="both"/>
      <w:outlineLvl w:val="2"/>
    </w:pPr>
    <w:rPr>
      <w:rFonts w:ascii="Arial" w:eastAsia="Times New Roman" w:hAnsi="Arial" w:cs="Times New Roman"/>
      <w:color w:val="000000"/>
      <w:szCs w:val="20"/>
    </w:rPr>
  </w:style>
  <w:style w:type="paragraph" w:customStyle="1" w:styleId="ScheduleUntitledsubclause3">
    <w:name w:val="Schedule Untitled subclause 3"/>
    <w:basedOn w:val="Normal"/>
    <w:rsid w:val="002771AA"/>
    <w:pPr>
      <w:numPr>
        <w:ilvl w:val="5"/>
        <w:numId w:val="1"/>
      </w:numPr>
      <w:tabs>
        <w:tab w:val="left" w:pos="2261"/>
      </w:tabs>
      <w:spacing w:after="120" w:line="300" w:lineRule="atLeast"/>
      <w:jc w:val="both"/>
      <w:outlineLvl w:val="3"/>
    </w:pPr>
    <w:rPr>
      <w:rFonts w:ascii="Arial" w:eastAsia="Times New Roman" w:hAnsi="Arial" w:cs="Times New Roman"/>
      <w:color w:val="000000"/>
      <w:szCs w:val="20"/>
    </w:rPr>
  </w:style>
  <w:style w:type="paragraph" w:customStyle="1" w:styleId="Schedule">
    <w:name w:val="Schedule"/>
    <w:qFormat/>
    <w:rsid w:val="002771AA"/>
    <w:pPr>
      <w:numPr>
        <w:numId w:val="1"/>
      </w:numPr>
      <w:spacing w:before="240" w:after="240" w:line="240" w:lineRule="atLeast"/>
    </w:pPr>
    <w:rPr>
      <w:rFonts w:ascii="Arial" w:eastAsia="Times New Roman" w:hAnsi="Arial" w:cs="Times New Roman"/>
      <w:b/>
      <w:color w:val="000000"/>
      <w:lang w:val="en-US"/>
    </w:rPr>
  </w:style>
  <w:style w:type="paragraph" w:customStyle="1" w:styleId="Part">
    <w:name w:val="Part"/>
    <w:basedOn w:val="Normal"/>
    <w:qFormat/>
    <w:rsid w:val="002771AA"/>
    <w:pPr>
      <w:numPr>
        <w:ilvl w:val="1"/>
        <w:numId w:val="1"/>
      </w:numPr>
      <w:spacing w:before="240" w:after="240" w:line="300" w:lineRule="atLeast"/>
    </w:pPr>
    <w:rPr>
      <w:rFonts w:ascii="Arial" w:eastAsia="Times New Roman" w:hAnsi="Arial" w:cs="Times New Roman"/>
      <w:b/>
      <w:color w:val="000000"/>
      <w:szCs w:val="20"/>
    </w:rPr>
  </w:style>
  <w:style w:type="paragraph" w:styleId="NormalWeb">
    <w:name w:val="Normal (Web)"/>
    <w:basedOn w:val="Normal"/>
    <w:uiPriority w:val="99"/>
    <w:unhideWhenUsed/>
    <w:rsid w:val="00712566"/>
    <w:pPr>
      <w:spacing w:before="100" w:beforeAutospacing="1" w:after="100" w:afterAutospacing="1" w:line="240" w:lineRule="auto"/>
    </w:pPr>
    <w:rPr>
      <w:rFonts w:ascii="Times New Roman" w:hAnsi="Times New Roman" w:cs="Times New Roman"/>
      <w:sz w:val="24"/>
      <w:szCs w:val="24"/>
    </w:rPr>
  </w:style>
  <w:style w:type="character" w:customStyle="1" w:styleId="gmail-apple-tab-span">
    <w:name w:val="gmail-apple-tab-span"/>
    <w:basedOn w:val="DefaultParagraphFont"/>
    <w:rsid w:val="00712566"/>
  </w:style>
  <w:style w:type="paragraph" w:styleId="ListParagraph">
    <w:name w:val="List Paragraph"/>
    <w:aliases w:val="Dot pt,F5 List Paragraph,List Paragraph1,No Spacing1,List Paragraph Char Char Char,Indicator Text,Numbered Para 1,Bullet 1,List Paragraph12,Bullet Points,MAIN CONTENT,List Paragraph11,List Paragraph2,OBC Bullet,Normal numbered,Bullet List"/>
    <w:basedOn w:val="Normal"/>
    <w:link w:val="ListParagraphChar"/>
    <w:uiPriority w:val="34"/>
    <w:qFormat/>
    <w:rsid w:val="000859BA"/>
    <w:pPr>
      <w:suppressAutoHyphens/>
      <w:autoSpaceDN w:val="0"/>
      <w:ind w:left="720"/>
      <w:textAlignment w:val="baseline"/>
    </w:pPr>
    <w:rPr>
      <w:rFonts w:cs="Times New Roman"/>
    </w:rPr>
  </w:style>
  <w:style w:type="paragraph" w:customStyle="1" w:styleId="GPsDefinition">
    <w:name w:val="GPs Definition"/>
    <w:basedOn w:val="Normal"/>
    <w:qFormat/>
    <w:rsid w:val="000859BA"/>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character" w:customStyle="1" w:styleId="Heading2Char">
    <w:name w:val="Heading 2 Char"/>
    <w:aliases w:val="KJL:1st Level Char,Numbered - 2 Char,h2 Char,1.1.1 heading Char,Reset numbering Char,PARA2 Char,S Heading Char,S Heading 2 Char,PA Major Section Char,Major heading Char,h 3 Char,Heading Two Char,(1.1 Char,1.2 Char,1.3 etc) Char,l2 Char"/>
    <w:basedOn w:val="DefaultParagraphFont"/>
    <w:link w:val="Heading2"/>
    <w:rsid w:val="00D50719"/>
    <w:rPr>
      <w:rFonts w:ascii="Cambria" w:eastAsia="Cambria" w:hAnsi="Cambria" w:cs="Cambria"/>
      <w:b/>
      <w:color w:val="000000"/>
      <w:sz w:val="26"/>
      <w:szCs w:val="26"/>
      <w:lang w:eastAsia="en-GB"/>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basedOn w:val="DefaultParagraphFont"/>
    <w:link w:val="Heading3"/>
    <w:rsid w:val="00D50719"/>
    <w:rPr>
      <w:rFonts w:ascii="Cambria" w:eastAsia="Cambria" w:hAnsi="Cambria" w:cs="Cambria"/>
      <w:b/>
      <w:color w:val="000000"/>
      <w:lang w:eastAsia="en-GB"/>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basedOn w:val="DefaultParagraphFont"/>
    <w:link w:val="Heading1"/>
    <w:uiPriority w:val="9"/>
    <w:rsid w:val="002404A4"/>
    <w:rPr>
      <w:rFonts w:ascii="Arial" w:hAnsi="Arial" w:cs="Arial"/>
      <w:lang w:eastAsia="zh-CN"/>
    </w:rPr>
  </w:style>
  <w:style w:type="character" w:customStyle="1" w:styleId="Heading4Char">
    <w:name w:val="Heading 4 Char"/>
    <w:aliases w:val="n Char,h4 Char,h4 sub sub heading Char,D Sub-Sub/Plain Char,Level 2 - (a) Char,Level 2 - a Char,GPH Heading 4 Char,Schedules Char,Second Level Heading HM Char,Subhead C Char,Sub-Minor Char,H4 Char,dash Char,4 Char,14 Char,l4 Char,141 Char"/>
    <w:basedOn w:val="DefaultParagraphFont"/>
    <w:link w:val="Heading4"/>
    <w:uiPriority w:val="9"/>
    <w:semiHidden/>
    <w:rsid w:val="002404A4"/>
    <w:rPr>
      <w:rFonts w:ascii="Arial" w:hAnsi="Arial" w:cs="Arial"/>
      <w:lang w:eastAsia="zh-CN"/>
    </w:rPr>
  </w:style>
  <w:style w:type="character" w:customStyle="1" w:styleId="Heading5Char">
    <w:name w:val="Heading 5 Char"/>
    <w:aliases w:val="Heading 5(unused) Char,Level 3 - (i) Char,Third Level Heading Char,h5 Char,Response Type Char,Response Type1 Char,Response Type2 Char,Response Type3 Char,Response Type4 Char,Response Type5 Char,Response Type6 Char,Response Type7 Char"/>
    <w:basedOn w:val="DefaultParagraphFont"/>
    <w:link w:val="Heading5"/>
    <w:uiPriority w:val="9"/>
    <w:semiHidden/>
    <w:rsid w:val="002404A4"/>
    <w:rPr>
      <w:rFonts w:ascii="Arial" w:hAnsi="Arial" w:cs="Arial"/>
      <w:lang w:eastAsia="zh-CN"/>
    </w:rPr>
  </w:style>
  <w:style w:type="character" w:customStyle="1" w:styleId="Heading6Char">
    <w:name w:val="Heading 6 Char"/>
    <w:aliases w:val="Legal Level 1. Char,Lev 6 Char,Heading 6  Appendix Y &amp; Z Char,Heading 6(unused) Char,L1 PIP Char,h6 Char,H6 Char,H61 Char,H62 Char,H63 Char,H64 Char,H65 Char,H66 Char,H67 Char,H68 Char,H69 Char,H610 Char,H611 Char,H612 Char,H613 Char"/>
    <w:basedOn w:val="DefaultParagraphFont"/>
    <w:link w:val="Heading6"/>
    <w:uiPriority w:val="9"/>
    <w:semiHidden/>
    <w:rsid w:val="002404A4"/>
    <w:rPr>
      <w:rFonts w:ascii="Arial" w:hAnsi="Arial" w:cs="Arial"/>
      <w:lang w:eastAsia="zh-CN"/>
    </w:rPr>
  </w:style>
  <w:style w:type="character" w:customStyle="1" w:styleId="Heading7Char">
    <w:name w:val="Heading 7 Char"/>
    <w:aliases w:val="Legal Level 1.1. Char,Lev 7 Char,Heading 7(unused) Char,L2 PIP Char,H7DO NOT USE Char,PA Appendix Major Char,Blank 3 Char,Heading 7 (Do Not Use) Char,Comments Char,Cover Char"/>
    <w:basedOn w:val="DefaultParagraphFont"/>
    <w:link w:val="Heading7"/>
    <w:uiPriority w:val="9"/>
    <w:semiHidden/>
    <w:rsid w:val="002404A4"/>
    <w:rPr>
      <w:rFonts w:ascii="Times New Roman" w:hAnsi="Times New Roman" w:cs="Times New Roman"/>
      <w:lang w:eastAsia="zh-CN"/>
    </w:rPr>
  </w:style>
  <w:style w:type="character" w:customStyle="1" w:styleId="Heading8Char">
    <w:name w:val="Heading 8 Char"/>
    <w:aliases w:val="Heading 8 (Do Not Use) Char,Legal Level 1.1.1. Char,Lev 8 Char,h8 DO NOT USE Char,PA Appendix Minor Char,Blank 4 Char,code/paths Char"/>
    <w:basedOn w:val="DefaultParagraphFont"/>
    <w:link w:val="Heading8"/>
    <w:uiPriority w:val="9"/>
    <w:semiHidden/>
    <w:rsid w:val="002404A4"/>
    <w:rPr>
      <w:rFonts w:ascii="Times New Roman" w:hAnsi="Times New Roman" w:cs="Times New Roman"/>
      <w:lang w:eastAsia="zh-CN"/>
    </w:rPr>
  </w:style>
  <w:style w:type="character" w:customStyle="1" w:styleId="Heading9Char">
    <w:name w:val="Heading 9 Char"/>
    <w:aliases w:val="Heading 9 (Do Not Use) Char,Heading 9 (defunct) Char,Legal Level 1.1.1.1. Char,Lev 9 Char,h9 DO NOT USE Char,App Heading Char,Titre 10 Char,App1 Char,Blank 5 Char,appendix Char,Appendix Char,h9 Char"/>
    <w:basedOn w:val="DefaultParagraphFont"/>
    <w:link w:val="Heading9"/>
    <w:uiPriority w:val="9"/>
    <w:semiHidden/>
    <w:rsid w:val="002404A4"/>
    <w:rPr>
      <w:rFonts w:ascii="Times New Roman" w:hAnsi="Times New Roman" w:cs="Times New Roman"/>
      <w:lang w:eastAsia="zh-CN"/>
    </w:rPr>
  </w:style>
  <w:style w:type="paragraph" w:customStyle="1" w:styleId="GPSDefinitionL2">
    <w:name w:val="GPS Definition L2"/>
    <w:basedOn w:val="GPsDefinition"/>
    <w:qFormat/>
    <w:rsid w:val="002404A4"/>
    <w:pPr>
      <w:tabs>
        <w:tab w:val="clear" w:pos="-179"/>
        <w:tab w:val="left" w:pos="175"/>
      </w:tabs>
      <w:adjustRightInd w:val="0"/>
      <w:ind w:left="1440" w:hanging="544"/>
    </w:pPr>
    <w:rPr>
      <w:rFonts w:ascii="Calibri" w:hAnsi="Calibri"/>
    </w:rPr>
  </w:style>
  <w:style w:type="paragraph" w:customStyle="1" w:styleId="GPSDefinitionL3">
    <w:name w:val="GPS Definition L3"/>
    <w:basedOn w:val="GPSDefinitionL2"/>
    <w:qFormat/>
    <w:rsid w:val="002404A4"/>
    <w:pPr>
      <w:ind w:left="1800" w:hanging="360"/>
    </w:pPr>
  </w:style>
  <w:style w:type="paragraph" w:customStyle="1" w:styleId="GPSDefinitionL4">
    <w:name w:val="GPS Definition L4"/>
    <w:basedOn w:val="GPSDefinitionL3"/>
    <w:qFormat/>
    <w:rsid w:val="002404A4"/>
    <w:pPr>
      <w:ind w:left="2160"/>
    </w:pPr>
  </w:style>
  <w:style w:type="character" w:customStyle="1" w:styleId="ListParagraphChar">
    <w:name w:val="List Paragraph Char"/>
    <w:aliases w:val="Dot pt Char,F5 List Paragraph Char,List Paragraph1 Char,No Spacing1 Char,List Paragraph Char Char Char Char,Indicator Text Char,Numbered Para 1 Char,Bullet 1 Char,List Paragraph12 Char,Bullet Points Char,MAIN CONTENT Char"/>
    <w:basedOn w:val="DefaultParagraphFont"/>
    <w:link w:val="ListParagraph"/>
    <w:uiPriority w:val="34"/>
    <w:locked/>
    <w:rsid w:val="002404A4"/>
    <w:rPr>
      <w:rFonts w:ascii="Calibri" w:eastAsia="Calibri" w:hAnsi="Calibri" w:cs="Times New Roman"/>
    </w:rPr>
  </w:style>
  <w:style w:type="paragraph" w:customStyle="1" w:styleId="ABackground">
    <w:name w:val="(A) Background"/>
    <w:basedOn w:val="Normal"/>
    <w:rsid w:val="002404A4"/>
    <w:pPr>
      <w:numPr>
        <w:numId w:val="14"/>
      </w:numPr>
      <w:spacing w:before="120" w:after="120" w:line="300" w:lineRule="atLeast"/>
      <w:jc w:val="both"/>
    </w:pPr>
    <w:rPr>
      <w:rFonts w:ascii="Times New Roman" w:hAnsi="Times New Roman" w:cs="Times New Roman"/>
    </w:rPr>
  </w:style>
  <w:style w:type="paragraph" w:customStyle="1" w:styleId="BackSubClause">
    <w:name w:val="BackSubClause"/>
    <w:basedOn w:val="Normal"/>
    <w:rsid w:val="002404A4"/>
    <w:pPr>
      <w:numPr>
        <w:ilvl w:val="1"/>
        <w:numId w:val="14"/>
      </w:numPr>
      <w:spacing w:after="0" w:line="300" w:lineRule="atLeast"/>
      <w:jc w:val="both"/>
    </w:pPr>
    <w:rPr>
      <w:rFonts w:ascii="Times New Roman" w:hAnsi="Times New Roman" w:cs="Times New Roman"/>
    </w:rPr>
  </w:style>
  <w:style w:type="paragraph" w:customStyle="1" w:styleId="TLTLevel1">
    <w:name w:val="TLT Level 1"/>
    <w:basedOn w:val="Normal"/>
    <w:rsid w:val="002404A4"/>
    <w:pPr>
      <w:tabs>
        <w:tab w:val="num" w:pos="720"/>
      </w:tabs>
      <w:spacing w:before="100" w:line="240" w:lineRule="auto"/>
      <w:ind w:left="720" w:hanging="720"/>
    </w:pPr>
    <w:rPr>
      <w:rFonts w:ascii="Arial" w:hAnsi="Arial" w:cs="Arial"/>
      <w:sz w:val="20"/>
      <w:szCs w:val="20"/>
    </w:rPr>
  </w:style>
  <w:style w:type="character" w:customStyle="1" w:styleId="TLTLevel2Char">
    <w:name w:val="TLT Level 2 Char"/>
    <w:basedOn w:val="DefaultParagraphFont"/>
    <w:link w:val="TLTLevel2"/>
    <w:locked/>
    <w:rsid w:val="002404A4"/>
  </w:style>
  <w:style w:type="paragraph" w:customStyle="1" w:styleId="TLTLevel2">
    <w:name w:val="TLT Level 2"/>
    <w:basedOn w:val="Normal"/>
    <w:link w:val="TLTLevel2Char"/>
    <w:rsid w:val="002404A4"/>
    <w:pPr>
      <w:tabs>
        <w:tab w:val="num" w:pos="1440"/>
      </w:tabs>
      <w:spacing w:before="100" w:line="240" w:lineRule="auto"/>
      <w:ind w:left="1440" w:hanging="720"/>
    </w:pPr>
  </w:style>
  <w:style w:type="paragraph" w:customStyle="1" w:styleId="TLTLevel3">
    <w:name w:val="TLT Level 3"/>
    <w:basedOn w:val="Normal"/>
    <w:rsid w:val="002404A4"/>
    <w:pPr>
      <w:numPr>
        <w:ilvl w:val="2"/>
        <w:numId w:val="15"/>
      </w:numPr>
      <w:spacing w:before="100" w:line="240" w:lineRule="auto"/>
      <w:ind w:hanging="180"/>
    </w:pPr>
    <w:rPr>
      <w:rFonts w:ascii="Times New Roman" w:hAnsi="Times New Roman" w:cs="Times New Roman"/>
    </w:rPr>
  </w:style>
  <w:style w:type="paragraph" w:customStyle="1" w:styleId="TLTLevel4">
    <w:name w:val="TLT Level 4"/>
    <w:basedOn w:val="Normal"/>
    <w:rsid w:val="002404A4"/>
    <w:pPr>
      <w:numPr>
        <w:ilvl w:val="3"/>
        <w:numId w:val="15"/>
      </w:numPr>
      <w:spacing w:before="100" w:line="240" w:lineRule="auto"/>
      <w:ind w:hanging="360"/>
    </w:pPr>
    <w:rPr>
      <w:rFonts w:ascii="Times New Roman" w:hAnsi="Times New Roman" w:cs="Times New Roman"/>
    </w:rPr>
  </w:style>
  <w:style w:type="paragraph" w:customStyle="1" w:styleId="TLTLevel5">
    <w:name w:val="TLT Level 5"/>
    <w:basedOn w:val="Normal"/>
    <w:rsid w:val="002404A4"/>
    <w:pPr>
      <w:numPr>
        <w:ilvl w:val="4"/>
        <w:numId w:val="15"/>
      </w:numPr>
      <w:spacing w:before="100" w:line="240" w:lineRule="auto"/>
      <w:ind w:hanging="360"/>
    </w:pPr>
    <w:rPr>
      <w:rFonts w:ascii="Times New Roman" w:hAnsi="Times New Roman" w:cs="Times New Roman"/>
    </w:rPr>
  </w:style>
  <w:style w:type="numbering" w:customStyle="1" w:styleId="Level">
    <w:name w:val="Level"/>
    <w:uiPriority w:val="99"/>
    <w:rsid w:val="002404A4"/>
  </w:style>
  <w:style w:type="paragraph" w:styleId="BodyText">
    <w:name w:val="Body Text"/>
    <w:basedOn w:val="Normal"/>
    <w:link w:val="BodyTextChar"/>
    <w:uiPriority w:val="99"/>
    <w:rsid w:val="006D1BF4"/>
    <w:pPr>
      <w:spacing w:after="220" w:line="240" w:lineRule="auto"/>
      <w:jc w:val="both"/>
    </w:pPr>
    <w:rPr>
      <w:rFonts w:ascii="Trebuchet MS" w:eastAsia="Times New Roman" w:hAnsi="Trebuchet MS" w:cs="Times New Roman"/>
      <w:sz w:val="20"/>
      <w:szCs w:val="20"/>
    </w:rPr>
  </w:style>
  <w:style w:type="character" w:customStyle="1" w:styleId="BodyTextChar">
    <w:name w:val="Body Text Char"/>
    <w:basedOn w:val="DefaultParagraphFont"/>
    <w:link w:val="BodyText"/>
    <w:uiPriority w:val="99"/>
    <w:rsid w:val="006D1BF4"/>
    <w:rPr>
      <w:rFonts w:ascii="Trebuchet MS" w:eastAsia="Times New Roman" w:hAnsi="Trebuchet MS" w:cs="Times New Roman"/>
      <w:sz w:val="20"/>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color w:val="000000"/>
      <w:sz w:val="20"/>
      <w:szCs w:val="20"/>
    </w:r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after="0" w:line="240" w:lineRule="auto"/>
    </w:pPr>
    <w:rPr>
      <w:color w:val="000000"/>
      <w:sz w:val="20"/>
      <w:szCs w:val="20"/>
    </w:rPr>
    <w:tblPr>
      <w:tblStyleRowBandSize w:val="1"/>
      <w:tblStyleColBandSize w:val="1"/>
      <w:tblCellMar>
        <w:left w:w="115" w:type="dxa"/>
        <w:right w:w="115" w:type="dxa"/>
      </w:tblCellMar>
    </w:tblPr>
  </w:style>
  <w:style w:type="table" w:customStyle="1" w:styleId="a2">
    <w:basedOn w:val="TableNormal"/>
    <w:pPr>
      <w:spacing w:after="0" w:line="240" w:lineRule="auto"/>
    </w:pPr>
    <w:rPr>
      <w:color w:val="000000"/>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L8P6/Ge6DvAJWvF5u9WpPeK9sA==">AMUW2mUkw+R4HdNY55W01JeCQ31Wqvsu/C+wBWWYzCAV+vF8ckgSxrsegC5y5hZl8b7lTozxrFjW7OPdZN7iIx4cB57P8jilc+OdIWllXcVIkqwyXohqi88yBNDAHFP3e54tU4yKI1ZgssepF16/701MY1TTNGuLQz94Nq8W3AiJM7jkRrp2NudVwuWDcjC/EuBTQ9+n/CeDG3PCZTMkRGkDjamIaS5dfvlFUjsEkKoAI4NTxZT1Gy8pe9Ec6YfKdbIyvuLDJp4375iJjIkIUaJxKHK80rs7v9brUaasJMeulTSUwU1QoDiELT3HUhslhwASoe7u59HrrVuJECaLJ3JNT421tJ1OrZsDl+3WzcmTTvm7XQdeMfI7OC44WBeM0AsTzxpzMvw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5351</Words>
  <Characters>30503</Characters>
  <Application>Microsoft Office Word</Application>
  <DocSecurity>0</DocSecurity>
  <Lines>254</Lines>
  <Paragraphs>71</Paragraphs>
  <ScaleCrop>false</ScaleCrop>
  <Company>Cabinet Office</Company>
  <LinksUpToDate>false</LinksUpToDate>
  <CharactersWithSpaces>35783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Lianne Garvey</dc:creator>
  <cp:lastModifiedBy>Sal Tempera</cp:lastModifiedBy>
  <cp:revision>3</cp:revision>
  <dcterms:created xsi:type="dcterms:W3CDTF">2021-02-25T18:36:00Z</dcterms:created>
  <dcterms:modified xsi:type="dcterms:W3CDTF">2022-01-07T08:56:00Z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D1V5</vt:lpwstr>
  </property>
</Properties>
</file>