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5F438" w14:textId="77777777" w:rsidR="003906CD" w:rsidRDefault="003906CD">
      <w:pPr>
        <w:widowControl w:val="0"/>
        <w:pBdr>
          <w:top w:val="nil"/>
          <w:left w:val="nil"/>
          <w:bottom w:val="nil"/>
          <w:right w:val="nil"/>
          <w:between w:val="nil"/>
        </w:pBdr>
        <w:spacing w:after="0"/>
      </w:pPr>
      <w:bookmarkStart w:id="0" w:name="_GoBack"/>
      <w:bookmarkEnd w:id="0"/>
    </w:p>
    <w:p w14:paraId="7CD6FDE7" w14:textId="77777777" w:rsidR="003906CD" w:rsidRDefault="003906CD">
      <w:pPr>
        <w:widowControl w:val="0"/>
        <w:pBdr>
          <w:top w:val="nil"/>
          <w:left w:val="nil"/>
          <w:bottom w:val="nil"/>
          <w:right w:val="nil"/>
          <w:between w:val="nil"/>
        </w:pBdr>
        <w:spacing w:after="0"/>
      </w:pPr>
    </w:p>
    <w:p w14:paraId="5ED786E5" w14:textId="77777777" w:rsidR="003906CD" w:rsidRDefault="003906CD">
      <w:pPr>
        <w:widowControl w:val="0"/>
        <w:pBdr>
          <w:top w:val="nil"/>
          <w:left w:val="nil"/>
          <w:bottom w:val="nil"/>
          <w:right w:val="nil"/>
          <w:between w:val="nil"/>
        </w:pBdr>
        <w:spacing w:after="0"/>
      </w:pPr>
      <w:bookmarkStart w:id="1" w:name="_heading=h.2s8eyo1" w:colFirst="0" w:colLast="0"/>
      <w:bookmarkEnd w:id="1"/>
    </w:p>
    <w:p w14:paraId="0D5EE253" w14:textId="77777777" w:rsidR="003906CD" w:rsidRDefault="00930550">
      <w:pPr>
        <w:keepNext/>
        <w:pBdr>
          <w:top w:val="nil"/>
          <w:left w:val="nil"/>
          <w:bottom w:val="nil"/>
          <w:right w:val="nil"/>
          <w:between w:val="nil"/>
        </w:pBdr>
        <w:spacing w:after="240" w:line="240" w:lineRule="auto"/>
        <w:rPr>
          <w:rFonts w:ascii="Arial" w:eastAsia="Arial" w:hAnsi="Arial" w:cs="Arial"/>
          <w:b/>
          <w:color w:val="000000"/>
          <w:sz w:val="36"/>
          <w:szCs w:val="36"/>
        </w:rPr>
      </w:pPr>
      <w:r>
        <w:rPr>
          <w:rFonts w:ascii="Arial" w:eastAsia="Arial" w:hAnsi="Arial" w:cs="Arial"/>
          <w:b/>
          <w:color w:val="000000"/>
          <w:sz w:val="36"/>
          <w:szCs w:val="36"/>
        </w:rPr>
        <w:t>Call-Off Schedule 14 (Key Performance Indicators)</w:t>
      </w:r>
    </w:p>
    <w:p w14:paraId="0C1D498C" w14:textId="77777777" w:rsidR="003906CD" w:rsidRDefault="00930550">
      <w:pPr>
        <w:numPr>
          <w:ilvl w:val="0"/>
          <w:numId w:val="5"/>
        </w:numPr>
        <w:pBdr>
          <w:top w:val="nil"/>
          <w:left w:val="nil"/>
          <w:bottom w:val="nil"/>
          <w:right w:val="nil"/>
          <w:between w:val="nil"/>
        </w:pBdr>
        <w:tabs>
          <w:tab w:val="left" w:pos="142"/>
        </w:tabs>
        <w:spacing w:before="240" w:after="120" w:line="240" w:lineRule="auto"/>
        <w:rPr>
          <w:rFonts w:ascii="Arial" w:eastAsia="Arial" w:hAnsi="Arial" w:cs="Arial"/>
          <w:b/>
          <w:color w:val="000000"/>
          <w:sz w:val="24"/>
          <w:szCs w:val="24"/>
        </w:rPr>
      </w:pPr>
      <w:r>
        <w:rPr>
          <w:rFonts w:ascii="Arial" w:eastAsia="Arial" w:hAnsi="Arial" w:cs="Arial"/>
          <w:b/>
          <w:color w:val="000000"/>
          <w:sz w:val="24"/>
          <w:szCs w:val="24"/>
        </w:rPr>
        <w:t>Definitions</w:t>
      </w:r>
    </w:p>
    <w:p w14:paraId="5A9B2699" w14:textId="77777777" w:rsidR="003906CD" w:rsidRDefault="00930550">
      <w:pPr>
        <w:numPr>
          <w:ilvl w:val="1"/>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fff6"/>
        <w:tblW w:w="858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6173"/>
      </w:tblGrid>
      <w:tr w:rsidR="003906CD" w14:paraId="028529D0" w14:textId="77777777">
        <w:tc>
          <w:tcPr>
            <w:tcW w:w="2410" w:type="dxa"/>
            <w:shd w:val="clear" w:color="auto" w:fill="auto"/>
          </w:tcPr>
          <w:p w14:paraId="0D2491E7" w14:textId="77777777" w:rsidR="003906CD" w:rsidRDefault="00930550">
            <w:pPr>
              <w:pBdr>
                <w:top w:val="nil"/>
                <w:left w:val="nil"/>
                <w:bottom w:val="nil"/>
                <w:right w:val="nil"/>
                <w:between w:val="nil"/>
              </w:pBdr>
              <w:spacing w:after="120"/>
              <w:ind w:left="-108"/>
              <w:rPr>
                <w:rFonts w:ascii="Arial" w:eastAsia="Arial" w:hAnsi="Arial" w:cs="Arial"/>
                <w:b/>
                <w:color w:val="000000"/>
                <w:sz w:val="24"/>
                <w:szCs w:val="24"/>
              </w:rPr>
            </w:pPr>
            <w:bookmarkStart w:id="2" w:name="_heading=h.2et92p0" w:colFirst="0" w:colLast="0"/>
            <w:bookmarkEnd w:id="2"/>
            <w:r>
              <w:rPr>
                <w:rFonts w:ascii="Arial" w:eastAsia="Arial" w:hAnsi="Arial" w:cs="Arial"/>
                <w:b/>
                <w:color w:val="000000"/>
                <w:sz w:val="24"/>
                <w:szCs w:val="24"/>
              </w:rPr>
              <w:t>"At Risk Amount"</w:t>
            </w:r>
          </w:p>
        </w:tc>
        <w:tc>
          <w:tcPr>
            <w:tcW w:w="6173" w:type="dxa"/>
            <w:shd w:val="clear" w:color="auto" w:fill="auto"/>
          </w:tcPr>
          <w:p w14:paraId="4EFE07FC" w14:textId="77777777" w:rsidR="003906CD" w:rsidRDefault="00930550">
            <w:pPr>
              <w:pBdr>
                <w:top w:val="nil"/>
                <w:left w:val="nil"/>
                <w:bottom w:val="nil"/>
                <w:right w:val="nil"/>
                <w:between w:val="nil"/>
              </w:pBdr>
              <w:tabs>
                <w:tab w:val="left" w:pos="-9"/>
                <w:tab w:val="left" w:pos="-179"/>
              </w:tabs>
              <w:spacing w:after="120"/>
              <w:ind w:left="170" w:hanging="170"/>
              <w:rPr>
                <w:rFonts w:ascii="Arial" w:eastAsia="Arial" w:hAnsi="Arial" w:cs="Arial"/>
                <w:color w:val="000000"/>
                <w:sz w:val="24"/>
                <w:szCs w:val="24"/>
              </w:rPr>
            </w:pPr>
            <w:r>
              <w:rPr>
                <w:rFonts w:ascii="Arial" w:eastAsia="Arial" w:hAnsi="Arial" w:cs="Arial"/>
                <w:color w:val="000000"/>
                <w:sz w:val="24"/>
                <w:szCs w:val="24"/>
              </w:rPr>
              <w:t xml:space="preserve">means in respect of a Service Period, the amount calculated in accordance with Paragraph 3.1 of Part A of this Schedule; </w:t>
            </w:r>
          </w:p>
        </w:tc>
      </w:tr>
      <w:tr w:rsidR="003906CD" w14:paraId="16976864" w14:textId="77777777">
        <w:tc>
          <w:tcPr>
            <w:tcW w:w="2410" w:type="dxa"/>
            <w:shd w:val="clear" w:color="auto" w:fill="auto"/>
          </w:tcPr>
          <w:p w14:paraId="49A1CD2E" w14:textId="77777777" w:rsidR="003906CD" w:rsidRDefault="0093055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"Earn Back %"</w:t>
            </w:r>
          </w:p>
        </w:tc>
        <w:tc>
          <w:tcPr>
            <w:tcW w:w="6173" w:type="dxa"/>
            <w:shd w:val="clear" w:color="auto" w:fill="auto"/>
          </w:tcPr>
          <w:p w14:paraId="5F493587" w14:textId="77777777" w:rsidR="003906CD" w:rsidRDefault="00930550">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sz w:val="24"/>
                <w:szCs w:val="24"/>
              </w:rPr>
              <w:t>means the percentage figure identified as such in the Order Form and which shall be used to determine the proportion of a KPI Credit which may be the subject of any Earn Back;</w:t>
            </w:r>
          </w:p>
        </w:tc>
      </w:tr>
      <w:tr w:rsidR="003906CD" w14:paraId="1221DB1A" w14:textId="77777777">
        <w:tc>
          <w:tcPr>
            <w:tcW w:w="2410" w:type="dxa"/>
            <w:shd w:val="clear" w:color="auto" w:fill="auto"/>
          </w:tcPr>
          <w:p w14:paraId="498C90D4" w14:textId="77777777" w:rsidR="003906CD" w:rsidRPr="000B57AC" w:rsidRDefault="00930550">
            <w:pPr>
              <w:spacing w:after="120"/>
              <w:ind w:left="-108"/>
              <w:rPr>
                <w:rFonts w:ascii="Arial" w:eastAsia="Arial" w:hAnsi="Arial" w:cs="Arial"/>
                <w:b/>
                <w:color w:val="000000"/>
                <w:sz w:val="24"/>
                <w:szCs w:val="24"/>
              </w:rPr>
            </w:pPr>
            <w:r w:rsidRPr="000B57AC">
              <w:rPr>
                <w:rFonts w:ascii="Arial" w:eastAsia="Arial" w:hAnsi="Arial" w:cs="Arial"/>
                <w:b/>
                <w:color w:val="000000"/>
                <w:sz w:val="24"/>
                <w:szCs w:val="24"/>
              </w:rPr>
              <w:t>“KPI Category”</w:t>
            </w:r>
          </w:p>
        </w:tc>
        <w:tc>
          <w:tcPr>
            <w:tcW w:w="6173" w:type="dxa"/>
            <w:shd w:val="clear" w:color="auto" w:fill="auto"/>
          </w:tcPr>
          <w:p w14:paraId="309D0050" w14:textId="77777777" w:rsidR="003906CD" w:rsidRDefault="00930550">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means each of the categories in the columns headed "KPI Category" in the "KPI Measures" tab of the KPI PayMech Model;</w:t>
            </w:r>
          </w:p>
        </w:tc>
      </w:tr>
      <w:tr w:rsidR="003906CD" w14:paraId="4DD17177" w14:textId="77777777">
        <w:tc>
          <w:tcPr>
            <w:tcW w:w="2410" w:type="dxa"/>
            <w:shd w:val="clear" w:color="auto" w:fill="auto"/>
          </w:tcPr>
          <w:p w14:paraId="37DF2659" w14:textId="77777777" w:rsidR="003906CD" w:rsidRPr="000B57AC" w:rsidRDefault="00930550">
            <w:pPr>
              <w:spacing w:after="120"/>
              <w:ind w:left="-108"/>
              <w:rPr>
                <w:rFonts w:ascii="Arial" w:eastAsia="Arial" w:hAnsi="Arial" w:cs="Arial"/>
                <w:b/>
                <w:color w:val="000000"/>
                <w:sz w:val="24"/>
                <w:szCs w:val="24"/>
              </w:rPr>
            </w:pPr>
            <w:r w:rsidRPr="000B57AC">
              <w:rPr>
                <w:rFonts w:ascii="Arial" w:eastAsia="Arial" w:hAnsi="Arial" w:cs="Arial"/>
                <w:b/>
                <w:color w:val="000000"/>
                <w:sz w:val="24"/>
                <w:szCs w:val="24"/>
              </w:rPr>
              <w:t xml:space="preserve">“KPI Category </w:t>
            </w:r>
            <w:proofErr w:type="gramStart"/>
            <w:r w:rsidRPr="000B57AC">
              <w:rPr>
                <w:rFonts w:ascii="Arial" w:eastAsia="Arial" w:hAnsi="Arial" w:cs="Arial"/>
                <w:b/>
                <w:color w:val="000000"/>
                <w:sz w:val="24"/>
                <w:szCs w:val="24"/>
              </w:rPr>
              <w:t>At</w:t>
            </w:r>
            <w:proofErr w:type="gramEnd"/>
            <w:r w:rsidRPr="000B57AC">
              <w:rPr>
                <w:rFonts w:ascii="Arial" w:eastAsia="Arial" w:hAnsi="Arial" w:cs="Arial"/>
                <w:b/>
                <w:color w:val="000000"/>
                <w:sz w:val="24"/>
                <w:szCs w:val="24"/>
              </w:rPr>
              <w:t xml:space="preserve"> Risk Amount”</w:t>
            </w:r>
          </w:p>
        </w:tc>
        <w:tc>
          <w:tcPr>
            <w:tcW w:w="6173" w:type="dxa"/>
            <w:shd w:val="clear" w:color="auto" w:fill="auto"/>
          </w:tcPr>
          <w:p w14:paraId="06CEFD20" w14:textId="77777777" w:rsidR="003906CD" w:rsidRDefault="00930550">
            <w:pP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means in relation to a KPI Performance Measure in respect of a Service Period, the amount calculated in accordance with Paragraph 3.2 of Part A of this Schedule;</w:t>
            </w:r>
          </w:p>
        </w:tc>
      </w:tr>
      <w:tr w:rsidR="003906CD" w14:paraId="1649BD9B" w14:textId="77777777">
        <w:tc>
          <w:tcPr>
            <w:tcW w:w="2410" w:type="dxa"/>
            <w:shd w:val="clear" w:color="auto" w:fill="auto"/>
          </w:tcPr>
          <w:p w14:paraId="76FACEF3" w14:textId="77777777" w:rsidR="003906CD" w:rsidRPr="000B57AC" w:rsidRDefault="00930550">
            <w:pPr>
              <w:pBdr>
                <w:top w:val="nil"/>
                <w:left w:val="nil"/>
                <w:bottom w:val="nil"/>
                <w:right w:val="nil"/>
                <w:between w:val="nil"/>
              </w:pBdr>
              <w:spacing w:after="120"/>
              <w:ind w:left="-108"/>
              <w:rPr>
                <w:rFonts w:ascii="Arial" w:eastAsia="Arial" w:hAnsi="Arial" w:cs="Arial"/>
                <w:b/>
                <w:sz w:val="24"/>
                <w:szCs w:val="24"/>
              </w:rPr>
            </w:pPr>
            <w:r w:rsidRPr="000B57AC">
              <w:rPr>
                <w:rFonts w:ascii="Arial" w:eastAsia="Arial" w:hAnsi="Arial" w:cs="Arial"/>
                <w:b/>
                <w:color w:val="000000"/>
                <w:sz w:val="24"/>
                <w:szCs w:val="24"/>
              </w:rPr>
              <w:t>“Full Retention Threshold”</w:t>
            </w:r>
          </w:p>
        </w:tc>
        <w:tc>
          <w:tcPr>
            <w:tcW w:w="6173" w:type="dxa"/>
            <w:shd w:val="clear" w:color="auto" w:fill="auto"/>
          </w:tcPr>
          <w:p w14:paraId="0EE22FA0" w14:textId="77777777" w:rsidR="003906CD" w:rsidRDefault="00930550">
            <w:pPr>
              <w:pBdr>
                <w:top w:val="nil"/>
                <w:left w:val="nil"/>
                <w:bottom w:val="nil"/>
                <w:right w:val="nil"/>
                <w:between w:val="nil"/>
              </w:pBdr>
              <w:tabs>
                <w:tab w:val="left" w:pos="-9"/>
                <w:tab w:val="left" w:pos="-179"/>
              </w:tabs>
              <w:spacing w:after="120"/>
              <w:ind w:left="170"/>
              <w:rPr>
                <w:rFonts w:ascii="Arial" w:eastAsia="Arial" w:hAnsi="Arial" w:cs="Arial"/>
                <w:sz w:val="24"/>
                <w:szCs w:val="24"/>
              </w:rPr>
            </w:pPr>
            <w:r>
              <w:rPr>
                <w:rFonts w:ascii="Arial" w:eastAsia="Arial" w:hAnsi="Arial" w:cs="Arial"/>
                <w:color w:val="000000"/>
                <w:sz w:val="24"/>
                <w:szCs w:val="24"/>
              </w:rPr>
              <w:t>shall have the meaning in Part A of this Schedule;</w:t>
            </w:r>
          </w:p>
        </w:tc>
      </w:tr>
      <w:tr w:rsidR="003906CD" w14:paraId="5717C67F" w14:textId="77777777">
        <w:tc>
          <w:tcPr>
            <w:tcW w:w="2410" w:type="dxa"/>
            <w:shd w:val="clear" w:color="auto" w:fill="auto"/>
          </w:tcPr>
          <w:p w14:paraId="25FBAACB" w14:textId="77777777" w:rsidR="003906CD" w:rsidRPr="000B57AC" w:rsidRDefault="00930550">
            <w:pPr>
              <w:pBdr>
                <w:top w:val="nil"/>
                <w:left w:val="nil"/>
                <w:bottom w:val="nil"/>
                <w:right w:val="nil"/>
                <w:between w:val="nil"/>
              </w:pBdr>
              <w:spacing w:after="120"/>
              <w:ind w:left="-108"/>
              <w:rPr>
                <w:rFonts w:ascii="Arial" w:eastAsia="Arial" w:hAnsi="Arial" w:cs="Arial"/>
                <w:b/>
                <w:color w:val="000000"/>
                <w:sz w:val="24"/>
                <w:szCs w:val="24"/>
              </w:rPr>
            </w:pPr>
            <w:r w:rsidRPr="000B57AC">
              <w:rPr>
                <w:rFonts w:ascii="Arial" w:eastAsia="Arial" w:hAnsi="Arial" w:cs="Arial"/>
                <w:b/>
                <w:color w:val="000000"/>
                <w:sz w:val="24"/>
                <w:szCs w:val="24"/>
              </w:rPr>
              <w:t>"KPI Credits"</w:t>
            </w:r>
          </w:p>
        </w:tc>
        <w:tc>
          <w:tcPr>
            <w:tcW w:w="6173" w:type="dxa"/>
            <w:shd w:val="clear" w:color="auto" w:fill="auto"/>
          </w:tcPr>
          <w:p w14:paraId="42D3EC29" w14:textId="77777777" w:rsidR="003906CD" w:rsidRDefault="00930550">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any KPI Credits specified in the Annex A to Part A of this Schedule being payable by the Supplier to the Buyer in respect of any failure by the Supplier to meet the Score Threshold for one or more KPI Categories;</w:t>
            </w:r>
          </w:p>
        </w:tc>
      </w:tr>
      <w:tr w:rsidR="003906CD" w14:paraId="5247F11B" w14:textId="77777777">
        <w:tc>
          <w:tcPr>
            <w:tcW w:w="2410" w:type="dxa"/>
            <w:shd w:val="clear" w:color="auto" w:fill="auto"/>
          </w:tcPr>
          <w:p w14:paraId="4626DBAA" w14:textId="77777777" w:rsidR="003906CD" w:rsidRPr="000B57AC" w:rsidRDefault="00930550">
            <w:pPr>
              <w:pBdr>
                <w:top w:val="nil"/>
                <w:left w:val="nil"/>
                <w:bottom w:val="nil"/>
                <w:right w:val="nil"/>
                <w:between w:val="nil"/>
              </w:pBdr>
              <w:spacing w:after="120"/>
              <w:ind w:left="-108"/>
              <w:rPr>
                <w:rFonts w:ascii="Arial" w:eastAsia="Arial" w:hAnsi="Arial" w:cs="Arial"/>
                <w:b/>
                <w:color w:val="000000"/>
                <w:sz w:val="24"/>
                <w:szCs w:val="24"/>
              </w:rPr>
            </w:pPr>
            <w:r w:rsidRPr="000B57AC">
              <w:rPr>
                <w:rFonts w:ascii="Arial" w:eastAsia="Arial" w:hAnsi="Arial" w:cs="Arial"/>
                <w:b/>
                <w:color w:val="000000"/>
                <w:sz w:val="24"/>
                <w:szCs w:val="24"/>
              </w:rPr>
              <w:t>"KPI Paymech Model"</w:t>
            </w:r>
          </w:p>
        </w:tc>
        <w:tc>
          <w:tcPr>
            <w:tcW w:w="6173" w:type="dxa"/>
            <w:shd w:val="clear" w:color="auto" w:fill="auto"/>
          </w:tcPr>
          <w:p w14:paraId="5BC5E751" w14:textId="77777777" w:rsidR="003906CD" w:rsidRDefault="00930550">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sz w:val="24"/>
                <w:szCs w:val="24"/>
              </w:rPr>
              <w:t>means the model comprised in the Excel worksheet - KPI Paymech Model, and attached</w:t>
            </w:r>
            <w:r>
              <w:rPr>
                <w:rFonts w:ascii="Arial" w:eastAsia="Arial" w:hAnsi="Arial" w:cs="Arial"/>
                <w:color w:val="000000"/>
                <w:sz w:val="24"/>
                <w:szCs w:val="24"/>
              </w:rPr>
              <w:t xml:space="preserve"> in the Annex </w:t>
            </w:r>
            <w:r>
              <w:rPr>
                <w:rFonts w:ascii="Arial" w:eastAsia="Arial" w:hAnsi="Arial" w:cs="Arial"/>
                <w:sz w:val="24"/>
                <w:szCs w:val="24"/>
              </w:rPr>
              <w:t xml:space="preserve">A </w:t>
            </w:r>
            <w:r>
              <w:rPr>
                <w:rFonts w:ascii="Arial" w:eastAsia="Arial" w:hAnsi="Arial" w:cs="Arial"/>
                <w:color w:val="000000"/>
                <w:sz w:val="24"/>
                <w:szCs w:val="24"/>
              </w:rPr>
              <w:t>to Part</w:t>
            </w:r>
            <w:r>
              <w:rPr>
                <w:rFonts w:ascii="Arial" w:eastAsia="Arial" w:hAnsi="Arial" w:cs="Arial"/>
                <w:sz w:val="24"/>
                <w:szCs w:val="24"/>
              </w:rPr>
              <w:t> </w:t>
            </w:r>
            <w:r>
              <w:rPr>
                <w:rFonts w:ascii="Arial" w:eastAsia="Arial" w:hAnsi="Arial" w:cs="Arial"/>
                <w:color w:val="000000"/>
                <w:sz w:val="24"/>
                <w:szCs w:val="24"/>
              </w:rPr>
              <w:t xml:space="preserve">A of this Schedule to </w:t>
            </w:r>
            <w:r>
              <w:rPr>
                <w:rFonts w:ascii="Arial" w:eastAsia="Arial" w:hAnsi="Arial" w:cs="Arial"/>
                <w:sz w:val="24"/>
                <w:szCs w:val="24"/>
              </w:rPr>
              <w:t>be used for calculating any adjustments</w:t>
            </w:r>
            <w:r>
              <w:rPr>
                <w:rFonts w:ascii="Arial" w:eastAsia="Arial" w:hAnsi="Arial" w:cs="Arial"/>
                <w:color w:val="000000"/>
                <w:sz w:val="24"/>
                <w:szCs w:val="24"/>
              </w:rPr>
              <w:t xml:space="preserve"> to </w:t>
            </w:r>
            <w:r>
              <w:rPr>
                <w:rFonts w:ascii="Arial" w:eastAsia="Arial" w:hAnsi="Arial" w:cs="Arial"/>
                <w:sz w:val="24"/>
                <w:szCs w:val="24"/>
              </w:rPr>
              <w:t>the Charges as a result of the operation of the KPI regime in this Schedule</w:t>
            </w:r>
            <w:r>
              <w:rPr>
                <w:rFonts w:ascii="Arial" w:eastAsia="Arial" w:hAnsi="Arial" w:cs="Arial"/>
                <w:color w:val="000000"/>
                <w:sz w:val="24"/>
                <w:szCs w:val="24"/>
              </w:rPr>
              <w:t>;</w:t>
            </w:r>
          </w:p>
        </w:tc>
      </w:tr>
      <w:tr w:rsidR="003906CD" w14:paraId="4442DCDB" w14:textId="77777777">
        <w:tc>
          <w:tcPr>
            <w:tcW w:w="2410" w:type="dxa"/>
            <w:shd w:val="clear" w:color="auto" w:fill="auto"/>
          </w:tcPr>
          <w:p w14:paraId="2CF97B1E" w14:textId="77777777" w:rsidR="003906CD" w:rsidRPr="000B57AC" w:rsidRDefault="00930550">
            <w:pPr>
              <w:spacing w:after="280"/>
              <w:rPr>
                <w:rFonts w:ascii="Arial" w:eastAsia="Arial" w:hAnsi="Arial" w:cs="Arial"/>
                <w:b/>
                <w:color w:val="000000"/>
                <w:sz w:val="24"/>
                <w:szCs w:val="24"/>
              </w:rPr>
            </w:pPr>
            <w:r w:rsidRPr="000B57AC">
              <w:rPr>
                <w:rFonts w:ascii="Arial" w:eastAsia="Arial" w:hAnsi="Arial" w:cs="Arial"/>
                <w:b/>
                <w:color w:val="000000"/>
                <w:sz w:val="24"/>
                <w:szCs w:val="24"/>
              </w:rPr>
              <w:t>"KPI Failure"</w:t>
            </w:r>
          </w:p>
        </w:tc>
        <w:tc>
          <w:tcPr>
            <w:tcW w:w="6173" w:type="dxa"/>
            <w:shd w:val="clear" w:color="auto" w:fill="auto"/>
          </w:tcPr>
          <w:p w14:paraId="79F4ED5C" w14:textId="77777777" w:rsidR="003906CD" w:rsidRDefault="00930550">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means a failure to meet the KPI Performance Measure, resulting in a KPI Category Failure in respect of a KPI;</w:t>
            </w:r>
          </w:p>
        </w:tc>
      </w:tr>
      <w:tr w:rsidR="003906CD" w14:paraId="70558C50" w14:textId="77777777">
        <w:tc>
          <w:tcPr>
            <w:tcW w:w="2410" w:type="dxa"/>
            <w:shd w:val="clear" w:color="auto" w:fill="auto"/>
          </w:tcPr>
          <w:p w14:paraId="541F8FE7" w14:textId="77777777" w:rsidR="003906CD" w:rsidRDefault="00930550">
            <w:pPr>
              <w:spacing w:after="280"/>
              <w:rPr>
                <w:rFonts w:ascii="Arial" w:eastAsia="Arial" w:hAnsi="Arial" w:cs="Arial"/>
                <w:b/>
                <w:color w:val="000000"/>
                <w:sz w:val="24"/>
                <w:szCs w:val="24"/>
              </w:rPr>
            </w:pPr>
            <w:r>
              <w:rPr>
                <w:rFonts w:ascii="Arial" w:eastAsia="Arial" w:hAnsi="Arial" w:cs="Arial"/>
                <w:b/>
                <w:color w:val="000000"/>
                <w:sz w:val="24"/>
                <w:szCs w:val="24"/>
              </w:rPr>
              <w:t xml:space="preserve">“KPI Performance </w:t>
            </w:r>
            <w:proofErr w:type="gramStart"/>
            <w:r>
              <w:rPr>
                <w:rFonts w:ascii="Arial" w:eastAsia="Arial" w:hAnsi="Arial" w:cs="Arial"/>
                <w:b/>
                <w:color w:val="000000"/>
                <w:sz w:val="24"/>
                <w:szCs w:val="24"/>
              </w:rPr>
              <w:t>Measure ”</w:t>
            </w:r>
            <w:proofErr w:type="gramEnd"/>
          </w:p>
          <w:p w14:paraId="59E082A8" w14:textId="77777777" w:rsidR="003906CD" w:rsidRDefault="003906CD">
            <w:pPr>
              <w:pBdr>
                <w:top w:val="nil"/>
                <w:left w:val="nil"/>
                <w:bottom w:val="nil"/>
                <w:right w:val="nil"/>
                <w:between w:val="nil"/>
              </w:pBdr>
              <w:spacing w:after="120"/>
              <w:ind w:left="-108"/>
              <w:rPr>
                <w:rFonts w:ascii="Arial" w:eastAsia="Arial" w:hAnsi="Arial" w:cs="Arial"/>
                <w:b/>
                <w:sz w:val="24"/>
                <w:szCs w:val="24"/>
              </w:rPr>
            </w:pPr>
          </w:p>
        </w:tc>
        <w:tc>
          <w:tcPr>
            <w:tcW w:w="6173" w:type="dxa"/>
            <w:shd w:val="clear" w:color="auto" w:fill="auto"/>
          </w:tcPr>
          <w:p w14:paraId="15015CE5" w14:textId="77777777" w:rsidR="003906CD" w:rsidRDefault="00930550">
            <w:pPr>
              <w:pBdr>
                <w:top w:val="nil"/>
                <w:left w:val="nil"/>
                <w:bottom w:val="nil"/>
                <w:right w:val="nil"/>
                <w:between w:val="nil"/>
              </w:pBdr>
              <w:tabs>
                <w:tab w:val="left" w:pos="-9"/>
                <w:tab w:val="left" w:pos="-179"/>
              </w:tabs>
              <w:spacing w:after="120"/>
              <w:ind w:left="170"/>
              <w:rPr>
                <w:rFonts w:ascii="Arial" w:eastAsia="Arial" w:hAnsi="Arial" w:cs="Arial"/>
                <w:sz w:val="24"/>
                <w:szCs w:val="24"/>
              </w:rPr>
            </w:pPr>
            <w:r>
              <w:rPr>
                <w:rFonts w:ascii="Arial" w:eastAsia="Arial" w:hAnsi="Arial" w:cs="Arial"/>
                <w:sz w:val="24"/>
                <w:szCs w:val="24"/>
              </w:rPr>
              <w:t>means each of the Performance Measures in the column headed "KPI Performance Measure" in the "KPI Measures" tab of the KPI Paymech Model, as set out Annex A to Part A of this Schedule</w:t>
            </w:r>
            <w:r>
              <w:rPr>
                <w:rFonts w:ascii="Arial" w:eastAsia="Arial" w:hAnsi="Arial" w:cs="Arial"/>
                <w:color w:val="000000"/>
                <w:sz w:val="24"/>
                <w:szCs w:val="24"/>
              </w:rPr>
              <w:t>;</w:t>
            </w:r>
          </w:p>
        </w:tc>
      </w:tr>
      <w:tr w:rsidR="003906CD" w14:paraId="69D181A1" w14:textId="77777777">
        <w:tc>
          <w:tcPr>
            <w:tcW w:w="2410" w:type="dxa"/>
            <w:shd w:val="clear" w:color="auto" w:fill="auto"/>
          </w:tcPr>
          <w:p w14:paraId="1CF4D213" w14:textId="77777777" w:rsidR="003906CD" w:rsidRDefault="00930550">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color w:val="000000"/>
                <w:sz w:val="24"/>
                <w:szCs w:val="24"/>
              </w:rPr>
              <w:t>"KPI Performance Measure Failure"</w:t>
            </w:r>
          </w:p>
        </w:tc>
        <w:tc>
          <w:tcPr>
            <w:tcW w:w="6173" w:type="dxa"/>
            <w:shd w:val="clear" w:color="auto" w:fill="auto"/>
          </w:tcPr>
          <w:p w14:paraId="772BE3DD" w14:textId="77777777" w:rsidR="003906CD" w:rsidRDefault="00930550">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means a failure to meet the KPI Performance Measure in respect of a KPI;</w:t>
            </w:r>
          </w:p>
        </w:tc>
      </w:tr>
      <w:tr w:rsidR="003906CD" w14:paraId="28A39D17" w14:textId="77777777">
        <w:tc>
          <w:tcPr>
            <w:tcW w:w="2410" w:type="dxa"/>
            <w:shd w:val="clear" w:color="auto" w:fill="auto"/>
          </w:tcPr>
          <w:p w14:paraId="2566F081" w14:textId="77777777" w:rsidR="003906CD" w:rsidRDefault="0093055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"Performance Monitoring Reports"</w:t>
            </w:r>
          </w:p>
        </w:tc>
        <w:tc>
          <w:tcPr>
            <w:tcW w:w="6173" w:type="dxa"/>
            <w:shd w:val="clear" w:color="auto" w:fill="auto"/>
          </w:tcPr>
          <w:p w14:paraId="792557BB" w14:textId="77777777" w:rsidR="003906CD" w:rsidRDefault="00930550">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shall have the meaning in Part B of this Schedule; </w:t>
            </w:r>
          </w:p>
        </w:tc>
      </w:tr>
      <w:tr w:rsidR="003906CD" w14:paraId="2749383A" w14:textId="77777777">
        <w:tc>
          <w:tcPr>
            <w:tcW w:w="2410" w:type="dxa"/>
            <w:shd w:val="clear" w:color="auto" w:fill="auto"/>
          </w:tcPr>
          <w:p w14:paraId="27CE5472" w14:textId="77777777" w:rsidR="003906CD" w:rsidRDefault="0093055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"Performance Review Meetings"</w:t>
            </w:r>
          </w:p>
        </w:tc>
        <w:tc>
          <w:tcPr>
            <w:tcW w:w="6173" w:type="dxa"/>
            <w:shd w:val="clear" w:color="auto" w:fill="auto"/>
          </w:tcPr>
          <w:p w14:paraId="318A7221" w14:textId="77777777" w:rsidR="003906CD" w:rsidRDefault="00930550">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shall have the meaning in Part B of this Schedule; </w:t>
            </w:r>
          </w:p>
        </w:tc>
      </w:tr>
      <w:tr w:rsidR="003906CD" w14:paraId="03EEEF3C" w14:textId="77777777">
        <w:tc>
          <w:tcPr>
            <w:tcW w:w="2410" w:type="dxa"/>
            <w:shd w:val="clear" w:color="auto" w:fill="auto"/>
          </w:tcPr>
          <w:p w14:paraId="3EFED38D" w14:textId="77777777" w:rsidR="003906CD" w:rsidRDefault="0093055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"Persistent KPI Failure"</w:t>
            </w:r>
          </w:p>
        </w:tc>
        <w:tc>
          <w:tcPr>
            <w:tcW w:w="6173" w:type="dxa"/>
            <w:shd w:val="clear" w:color="auto" w:fill="auto"/>
          </w:tcPr>
          <w:p w14:paraId="510690D4" w14:textId="77777777" w:rsidR="003906CD" w:rsidRDefault="00930550">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means the Supplier's actual performance against the KPI Performance Measures falls to or below the standard to which [Paragraph 6 of Part A] of this Schedule refers; </w:t>
            </w:r>
          </w:p>
        </w:tc>
      </w:tr>
      <w:tr w:rsidR="003906CD" w14:paraId="47718EE5" w14:textId="77777777">
        <w:tc>
          <w:tcPr>
            <w:tcW w:w="2410" w:type="dxa"/>
            <w:shd w:val="clear" w:color="auto" w:fill="auto"/>
          </w:tcPr>
          <w:p w14:paraId="005C7897" w14:textId="77777777" w:rsidR="003906CD" w:rsidRPr="000B57AC" w:rsidRDefault="00930550">
            <w:pPr>
              <w:pBdr>
                <w:top w:val="nil"/>
                <w:left w:val="nil"/>
                <w:bottom w:val="nil"/>
                <w:right w:val="nil"/>
                <w:between w:val="nil"/>
              </w:pBdr>
              <w:spacing w:after="120"/>
              <w:ind w:left="-108"/>
              <w:rPr>
                <w:rFonts w:ascii="Arial" w:eastAsia="Arial" w:hAnsi="Arial" w:cs="Arial"/>
                <w:b/>
                <w:color w:val="000000"/>
                <w:sz w:val="24"/>
                <w:szCs w:val="24"/>
              </w:rPr>
            </w:pPr>
            <w:r w:rsidRPr="000B57AC">
              <w:rPr>
                <w:rFonts w:ascii="Arial" w:eastAsia="Arial" w:hAnsi="Arial" w:cs="Arial"/>
                <w:b/>
                <w:color w:val="000000"/>
                <w:sz w:val="24"/>
                <w:szCs w:val="24"/>
              </w:rPr>
              <w:t>“Score Threshold”</w:t>
            </w:r>
          </w:p>
        </w:tc>
        <w:tc>
          <w:tcPr>
            <w:tcW w:w="6173" w:type="dxa"/>
            <w:shd w:val="clear" w:color="auto" w:fill="auto"/>
          </w:tcPr>
          <w:p w14:paraId="768AD746" w14:textId="77777777" w:rsidR="003906CD" w:rsidRDefault="00930550">
            <w:pPr>
              <w:spacing w:after="120"/>
              <w:ind w:left="170"/>
              <w:rPr>
                <w:rFonts w:ascii="Arial" w:eastAsia="Arial" w:hAnsi="Arial" w:cs="Arial"/>
                <w:color w:val="000000"/>
                <w:sz w:val="24"/>
                <w:szCs w:val="24"/>
              </w:rPr>
            </w:pPr>
            <w:r>
              <w:rPr>
                <w:rFonts w:ascii="Arial" w:eastAsia="Arial" w:hAnsi="Arial" w:cs="Arial"/>
                <w:color w:val="000000"/>
                <w:sz w:val="24"/>
                <w:szCs w:val="24"/>
              </w:rPr>
              <w:t>means the threshold the Supplier must meet, in respect of a Service Period, as detailed within the "KPI Measures" tab of the KPI PayMech Model;</w:t>
            </w:r>
          </w:p>
        </w:tc>
      </w:tr>
    </w:tbl>
    <w:p w14:paraId="6A83AFCB" w14:textId="77777777" w:rsidR="003906CD" w:rsidRDefault="003906CD">
      <w:pPr>
        <w:pBdr>
          <w:top w:val="nil"/>
          <w:left w:val="nil"/>
          <w:bottom w:val="nil"/>
          <w:right w:val="nil"/>
          <w:between w:val="nil"/>
        </w:pBdr>
        <w:tabs>
          <w:tab w:val="left" w:pos="142"/>
        </w:tabs>
        <w:spacing w:before="240" w:after="120" w:line="240" w:lineRule="auto"/>
        <w:ind w:left="720"/>
        <w:rPr>
          <w:rFonts w:ascii="Arial" w:eastAsia="Arial" w:hAnsi="Arial" w:cs="Arial"/>
          <w:b/>
          <w:sz w:val="24"/>
          <w:szCs w:val="24"/>
        </w:rPr>
      </w:pPr>
    </w:p>
    <w:p w14:paraId="58FBFF52" w14:textId="77777777" w:rsidR="003906CD" w:rsidRDefault="00930550">
      <w:pPr>
        <w:numPr>
          <w:ilvl w:val="0"/>
          <w:numId w:val="5"/>
        </w:numPr>
        <w:pBdr>
          <w:top w:val="nil"/>
          <w:left w:val="nil"/>
          <w:bottom w:val="nil"/>
          <w:right w:val="nil"/>
          <w:between w:val="nil"/>
        </w:pBdr>
        <w:tabs>
          <w:tab w:val="left" w:pos="142"/>
        </w:tabs>
        <w:spacing w:before="240" w:after="120" w:line="240" w:lineRule="auto"/>
        <w:rPr>
          <w:rFonts w:ascii="Arial" w:eastAsia="Arial" w:hAnsi="Arial" w:cs="Arial"/>
          <w:b/>
          <w:smallCaps/>
          <w:color w:val="000000"/>
          <w:sz w:val="24"/>
          <w:szCs w:val="24"/>
        </w:rPr>
      </w:pPr>
      <w:r>
        <w:rPr>
          <w:rFonts w:ascii="Arial" w:eastAsia="Arial" w:hAnsi="Arial" w:cs="Arial"/>
          <w:b/>
          <w:color w:val="000000"/>
          <w:sz w:val="24"/>
          <w:szCs w:val="24"/>
        </w:rPr>
        <w:t>What happens if you don’t meet the KPI Performance Measures</w:t>
      </w:r>
    </w:p>
    <w:p w14:paraId="567EE14D" w14:textId="77777777" w:rsidR="003906CD" w:rsidRDefault="00930550">
      <w:pPr>
        <w:numPr>
          <w:ilvl w:val="1"/>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at all times provide the Deliverables to meet or exceed the KPI Performance Measures.</w:t>
      </w:r>
    </w:p>
    <w:p w14:paraId="5C96321E" w14:textId="77777777" w:rsidR="003906CD" w:rsidRDefault="00930550">
      <w:pPr>
        <w:numPr>
          <w:ilvl w:val="1"/>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acknowledges that any KPI Performance Measure Failure shall entitle the Buyer to the rights set out in Part A of this Schedule including the right to any KPI Credits and that any KPI Credit is a price adjustment and not an estimate of the Loss that may be suffered by the Buyer as a result of the Supplier’s failure to meet any KPI Performance Measure.</w:t>
      </w:r>
    </w:p>
    <w:p w14:paraId="090D9F5D" w14:textId="77777777" w:rsidR="003906CD" w:rsidRDefault="00930550">
      <w:pPr>
        <w:numPr>
          <w:ilvl w:val="1"/>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send Performance Monitoring Reports to the Buyer detailing the level of service which was achieved in accordance with the provisions of Part B (Performance Monitoring) of this Schedule.</w:t>
      </w:r>
    </w:p>
    <w:p w14:paraId="6AA76CED" w14:textId="77777777" w:rsidR="003906CD" w:rsidRDefault="00930550">
      <w:pPr>
        <w:numPr>
          <w:ilvl w:val="1"/>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KPI Credit shall be the Buyer’s exclusive financial remedy for a KPI Failure except where:</w:t>
      </w:r>
    </w:p>
    <w:p w14:paraId="340ABE81" w14:textId="77777777" w:rsidR="003906CD" w:rsidRDefault="00930550">
      <w:pPr>
        <w:numPr>
          <w:ilvl w:val="2"/>
          <w:numId w:val="5"/>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 w:name="_heading=h.1t3h5sf" w:colFirst="0" w:colLast="0"/>
      <w:bookmarkEnd w:id="3"/>
      <w:r>
        <w:rPr>
          <w:rFonts w:ascii="Arial" w:eastAsia="Arial" w:hAnsi="Arial" w:cs="Arial"/>
          <w:color w:val="000000"/>
          <w:sz w:val="24"/>
          <w:szCs w:val="24"/>
        </w:rPr>
        <w:t>the KPI Failure:</w:t>
      </w:r>
    </w:p>
    <w:p w14:paraId="1B3B1EC0" w14:textId="77777777" w:rsidR="003906CD" w:rsidRDefault="00930550">
      <w:pPr>
        <w:numPr>
          <w:ilvl w:val="3"/>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has arisen due to a Prohibited Act or wilful Default by the Supplier; </w:t>
      </w:r>
    </w:p>
    <w:p w14:paraId="461774F4" w14:textId="77777777" w:rsidR="003906CD" w:rsidRDefault="00930550">
      <w:pPr>
        <w:numPr>
          <w:ilvl w:val="3"/>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results in the corruption or loss of any Government Data; and/or</w:t>
      </w:r>
    </w:p>
    <w:p w14:paraId="0CEEA03E" w14:textId="77777777" w:rsidR="003906CD" w:rsidRDefault="00930550">
      <w:pPr>
        <w:numPr>
          <w:ilvl w:val="3"/>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results in the Buyer being required to make a compensation payment to one or more third parties.</w:t>
      </w:r>
    </w:p>
    <w:p w14:paraId="398617B5" w14:textId="77777777" w:rsidR="003906CD" w:rsidRDefault="00930550">
      <w:pPr>
        <w:numPr>
          <w:ilvl w:val="2"/>
          <w:numId w:val="5"/>
        </w:numPr>
        <w:pBdr>
          <w:top w:val="nil"/>
          <w:left w:val="nil"/>
          <w:bottom w:val="nil"/>
          <w:right w:val="nil"/>
          <w:between w:val="nil"/>
        </w:pBdr>
        <w:spacing w:after="120" w:line="240" w:lineRule="auto"/>
        <w:jc w:val="both"/>
        <w:rPr>
          <w:rFonts w:ascii="Arial" w:eastAsia="Arial" w:hAnsi="Arial" w:cs="Arial"/>
          <w:color w:val="000000"/>
          <w:sz w:val="24"/>
          <w:szCs w:val="24"/>
        </w:rPr>
      </w:pPr>
      <w:r>
        <w:rPr>
          <w:rFonts w:ascii="Arial" w:eastAsia="Arial" w:hAnsi="Arial" w:cs="Arial"/>
          <w:sz w:val="24"/>
          <w:szCs w:val="24"/>
        </w:rPr>
        <w:t>a Persistent KPI Failure occurs and/or the Buyer is otherwise entitled to or does terminate this Contract pursuant to Clause 10.4 of the Core Terms (When CCS or the Buyer can end a contract).</w:t>
      </w:r>
    </w:p>
    <w:p w14:paraId="68484288" w14:textId="77777777" w:rsidR="003906CD" w:rsidRDefault="00930550">
      <w:pPr>
        <w:numPr>
          <w:ilvl w:val="2"/>
          <w:numId w:val="5"/>
        </w:numPr>
        <w:pBdr>
          <w:top w:val="nil"/>
          <w:left w:val="nil"/>
          <w:bottom w:val="nil"/>
          <w:right w:val="nil"/>
          <w:between w:val="nil"/>
        </w:pBdr>
        <w:spacing w:before="120" w:after="120" w:line="240" w:lineRule="auto"/>
        <w:rPr>
          <w:rFonts w:ascii="Arial" w:eastAsia="Arial" w:hAnsi="Arial" w:cs="Arial"/>
          <w:color w:val="000000"/>
          <w:sz w:val="24"/>
          <w:szCs w:val="24"/>
        </w:rPr>
      </w:pPr>
      <w:bookmarkStart w:id="4" w:name="_heading=h.gjdgxs" w:colFirst="0" w:colLast="0"/>
      <w:bookmarkEnd w:id="4"/>
      <w:r>
        <w:rPr>
          <w:rFonts w:ascii="Arial" w:eastAsia="Arial" w:hAnsi="Arial" w:cs="Arial"/>
          <w:color w:val="000000"/>
          <w:sz w:val="24"/>
          <w:szCs w:val="24"/>
        </w:rPr>
        <w:t>the Buyer is entitled to or does terminate this Contract pursuant to Clause 1</w:t>
      </w:r>
      <w:r>
        <w:rPr>
          <w:rFonts w:ascii="Arial" w:eastAsia="Arial" w:hAnsi="Arial" w:cs="Arial"/>
          <w:sz w:val="24"/>
          <w:szCs w:val="24"/>
        </w:rPr>
        <w:t>0</w:t>
      </w:r>
      <w:r>
        <w:rPr>
          <w:rFonts w:ascii="Arial" w:eastAsia="Arial" w:hAnsi="Arial" w:cs="Arial"/>
          <w:color w:val="000000"/>
          <w:sz w:val="24"/>
          <w:szCs w:val="24"/>
        </w:rPr>
        <w:t>.4 of the Core Terms (When CCS or the Buyer can end a contract).</w:t>
      </w:r>
    </w:p>
    <w:p w14:paraId="372D5C0F" w14:textId="77777777" w:rsidR="003906CD" w:rsidRDefault="00930550">
      <w:pPr>
        <w:numPr>
          <w:ilvl w:val="1"/>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Not more than once in each Contract Year, the Buyer may, on giving the Supplier at least three (3) Months’ notice, change the weighting and/or the number of KPI Performance Measures, and the Supplier shall not be entitled to increase the Charges as a result of such changes, provided that:</w:t>
      </w:r>
    </w:p>
    <w:p w14:paraId="62318091" w14:textId="77777777" w:rsidR="003906CD" w:rsidRDefault="00930550">
      <w:pPr>
        <w:numPr>
          <w:ilvl w:val="2"/>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total number of KPI Performance Measures for which the weighting is to be changed does not exceed the number applicable as at the Start Date; </w:t>
      </w:r>
    </w:p>
    <w:p w14:paraId="201E21B4" w14:textId="77777777" w:rsidR="003906CD" w:rsidRDefault="00930550">
      <w:pPr>
        <w:numPr>
          <w:ilvl w:val="2"/>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principal purpose of the change is to reflect changes in the Buyer's business requirements and/or priorities or to reflect changing industry standards; and</w:t>
      </w:r>
    </w:p>
    <w:p w14:paraId="3EFFC6DD" w14:textId="77777777" w:rsidR="003906CD" w:rsidRDefault="00930550">
      <w:pPr>
        <w:numPr>
          <w:ilvl w:val="2"/>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there is no change to the At Risk Amount.</w:t>
      </w:r>
    </w:p>
    <w:p w14:paraId="757CE945" w14:textId="77777777" w:rsidR="003906CD" w:rsidRDefault="00930550">
      <w:pPr>
        <w:numPr>
          <w:ilvl w:val="1"/>
          <w:numId w:val="5"/>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Not more than once in each Contract Year, each party, on giving the other party at least three (3) Months’ notice, may request an amendment to elements of a Key Performance Indicator pursuant to Clause 24 of the Core Terms.  These elements include but are not limited to the following:</w:t>
      </w:r>
    </w:p>
    <w:p w14:paraId="540DE5DD" w14:textId="77777777" w:rsidR="003906CD" w:rsidRDefault="00930550">
      <w:pPr>
        <w:numPr>
          <w:ilvl w:val="2"/>
          <w:numId w:val="5"/>
        </w:numPr>
        <w:spacing w:before="120" w:after="120" w:line="240" w:lineRule="auto"/>
      </w:pPr>
      <w:r>
        <w:rPr>
          <w:rFonts w:ascii="Arial" w:eastAsia="Arial" w:hAnsi="Arial" w:cs="Arial"/>
          <w:color w:val="000000"/>
          <w:sz w:val="24"/>
          <w:szCs w:val="24"/>
        </w:rPr>
        <w:t>KPI Performance Measure;</w:t>
      </w:r>
    </w:p>
    <w:p w14:paraId="34383B68" w14:textId="77777777" w:rsidR="003906CD" w:rsidRDefault="00930550">
      <w:pPr>
        <w:numPr>
          <w:ilvl w:val="2"/>
          <w:numId w:val="5"/>
        </w:numPr>
        <w:spacing w:before="120" w:after="120" w:line="240" w:lineRule="auto"/>
      </w:pPr>
      <w:r>
        <w:rPr>
          <w:rFonts w:ascii="Arial" w:eastAsia="Arial" w:hAnsi="Arial" w:cs="Arial"/>
          <w:color w:val="000000"/>
          <w:sz w:val="24"/>
          <w:szCs w:val="24"/>
        </w:rPr>
        <w:t>Measure reference;</w:t>
      </w:r>
    </w:p>
    <w:p w14:paraId="6C4BE2BD" w14:textId="77777777" w:rsidR="003906CD" w:rsidRDefault="00930550">
      <w:pPr>
        <w:numPr>
          <w:ilvl w:val="2"/>
          <w:numId w:val="5"/>
        </w:numPr>
        <w:spacing w:before="120" w:after="120" w:line="240" w:lineRule="auto"/>
      </w:pPr>
      <w:r>
        <w:rPr>
          <w:rFonts w:ascii="Arial" w:eastAsia="Arial" w:hAnsi="Arial" w:cs="Arial"/>
          <w:color w:val="000000"/>
          <w:sz w:val="24"/>
          <w:szCs w:val="24"/>
        </w:rPr>
        <w:t xml:space="preserve">Measure and achievement criteria; </w:t>
      </w:r>
    </w:p>
    <w:p w14:paraId="36466452" w14:textId="77777777" w:rsidR="003906CD" w:rsidRDefault="00930550">
      <w:pPr>
        <w:numPr>
          <w:ilvl w:val="2"/>
          <w:numId w:val="5"/>
        </w:numPr>
        <w:spacing w:before="120" w:after="120" w:line="240" w:lineRule="auto"/>
      </w:pPr>
      <w:r>
        <w:rPr>
          <w:rFonts w:ascii="Arial" w:eastAsia="Arial" w:hAnsi="Arial" w:cs="Arial"/>
          <w:color w:val="000000"/>
          <w:sz w:val="24"/>
          <w:szCs w:val="24"/>
        </w:rPr>
        <w:t>Measure achievement criteria calculation;</w:t>
      </w:r>
    </w:p>
    <w:p w14:paraId="45837AC6" w14:textId="77777777" w:rsidR="003906CD" w:rsidRDefault="00930550">
      <w:pPr>
        <w:numPr>
          <w:ilvl w:val="2"/>
          <w:numId w:val="5"/>
        </w:numPr>
        <w:spacing w:before="120" w:after="120" w:line="240" w:lineRule="auto"/>
      </w:pPr>
      <w:r>
        <w:rPr>
          <w:rFonts w:ascii="Arial" w:eastAsia="Arial" w:hAnsi="Arial" w:cs="Arial"/>
          <w:color w:val="000000"/>
          <w:sz w:val="24"/>
          <w:szCs w:val="24"/>
        </w:rPr>
        <w:t>Achievement unit of measure;</w:t>
      </w:r>
    </w:p>
    <w:p w14:paraId="6009E7BA" w14:textId="77777777" w:rsidR="003906CD" w:rsidRDefault="00930550">
      <w:pPr>
        <w:numPr>
          <w:ilvl w:val="2"/>
          <w:numId w:val="5"/>
        </w:numPr>
        <w:spacing w:before="120" w:after="120" w:line="240" w:lineRule="auto"/>
      </w:pPr>
      <w:r>
        <w:rPr>
          <w:rFonts w:ascii="Arial" w:eastAsia="Arial" w:hAnsi="Arial" w:cs="Arial"/>
          <w:color w:val="000000"/>
          <w:sz w:val="24"/>
          <w:szCs w:val="24"/>
        </w:rPr>
        <w:t xml:space="preserve">Achievement value; </w:t>
      </w:r>
    </w:p>
    <w:p w14:paraId="770BB6B0" w14:textId="77777777" w:rsidR="003906CD" w:rsidRDefault="00930550">
      <w:pPr>
        <w:numPr>
          <w:ilvl w:val="2"/>
          <w:numId w:val="5"/>
        </w:numPr>
        <w:spacing w:before="120" w:after="120" w:line="240" w:lineRule="auto"/>
      </w:pPr>
      <w:r>
        <w:rPr>
          <w:rFonts w:ascii="Arial" w:eastAsia="Arial" w:hAnsi="Arial" w:cs="Arial"/>
          <w:color w:val="000000"/>
          <w:sz w:val="24"/>
          <w:szCs w:val="24"/>
        </w:rPr>
        <w:t>Achievement value (number);</w:t>
      </w:r>
    </w:p>
    <w:p w14:paraId="176C8244" w14:textId="77777777" w:rsidR="003906CD" w:rsidRDefault="00930550">
      <w:pPr>
        <w:numPr>
          <w:ilvl w:val="2"/>
          <w:numId w:val="5"/>
        </w:numPr>
        <w:spacing w:before="120" w:after="120" w:line="240" w:lineRule="auto"/>
      </w:pPr>
      <w:r>
        <w:rPr>
          <w:rFonts w:ascii="Arial" w:eastAsia="Arial" w:hAnsi="Arial" w:cs="Arial"/>
          <w:color w:val="000000"/>
          <w:sz w:val="24"/>
          <w:szCs w:val="24"/>
        </w:rPr>
        <w:t>Achievement value (pass or fail);</w:t>
      </w:r>
    </w:p>
    <w:p w14:paraId="38CE15CA" w14:textId="77777777" w:rsidR="003906CD" w:rsidRDefault="00930550">
      <w:pPr>
        <w:numPr>
          <w:ilvl w:val="2"/>
          <w:numId w:val="5"/>
        </w:numPr>
        <w:spacing w:before="120" w:after="120" w:line="240" w:lineRule="auto"/>
      </w:pPr>
      <w:r>
        <w:rPr>
          <w:rFonts w:ascii="Arial" w:eastAsia="Arial" w:hAnsi="Arial" w:cs="Arial"/>
          <w:color w:val="000000"/>
          <w:sz w:val="24"/>
          <w:szCs w:val="24"/>
        </w:rPr>
        <w:t>Scoring Scale;</w:t>
      </w:r>
    </w:p>
    <w:p w14:paraId="5526AADE" w14:textId="77777777" w:rsidR="003906CD" w:rsidRDefault="00930550">
      <w:pPr>
        <w:numPr>
          <w:ilvl w:val="2"/>
          <w:numId w:val="5"/>
        </w:numPr>
        <w:spacing w:before="120" w:after="120" w:line="240" w:lineRule="auto"/>
      </w:pPr>
      <w:r>
        <w:rPr>
          <w:rFonts w:ascii="Arial" w:eastAsia="Arial" w:hAnsi="Arial" w:cs="Arial"/>
          <w:color w:val="000000"/>
          <w:sz w:val="24"/>
          <w:szCs w:val="24"/>
        </w:rPr>
        <w:t>Weighting; and/or</w:t>
      </w:r>
    </w:p>
    <w:p w14:paraId="4775E13D" w14:textId="77777777" w:rsidR="003906CD" w:rsidRDefault="00930550">
      <w:pPr>
        <w:numPr>
          <w:ilvl w:val="2"/>
          <w:numId w:val="5"/>
        </w:numPr>
        <w:spacing w:before="120" w:after="120" w:line="240" w:lineRule="auto"/>
      </w:pPr>
      <w:r>
        <w:rPr>
          <w:rFonts w:ascii="Arial" w:eastAsia="Arial" w:hAnsi="Arial" w:cs="Arial"/>
          <w:color w:val="000000"/>
          <w:sz w:val="24"/>
          <w:szCs w:val="24"/>
        </w:rPr>
        <w:t>Score Threshold</w:t>
      </w:r>
    </w:p>
    <w:p w14:paraId="104EABCB" w14:textId="77777777" w:rsidR="003906CD" w:rsidRDefault="003906CD">
      <w:pPr>
        <w:pBdr>
          <w:top w:val="nil"/>
          <w:left w:val="nil"/>
          <w:bottom w:val="nil"/>
          <w:right w:val="nil"/>
          <w:between w:val="nil"/>
        </w:pBdr>
        <w:spacing w:before="120" w:after="120" w:line="240" w:lineRule="auto"/>
        <w:ind w:left="2160"/>
        <w:rPr>
          <w:rFonts w:ascii="Arial" w:eastAsia="Arial" w:hAnsi="Arial" w:cs="Arial"/>
          <w:color w:val="000000"/>
        </w:rPr>
      </w:pPr>
    </w:p>
    <w:p w14:paraId="35213AED" w14:textId="77777777" w:rsidR="003906CD" w:rsidRDefault="00930550">
      <w:pPr>
        <w:numPr>
          <w:ilvl w:val="0"/>
          <w:numId w:val="5"/>
        </w:numPr>
        <w:pBdr>
          <w:top w:val="nil"/>
          <w:left w:val="nil"/>
          <w:bottom w:val="nil"/>
          <w:right w:val="nil"/>
          <w:between w:val="nil"/>
        </w:pBdr>
        <w:tabs>
          <w:tab w:val="left" w:pos="142"/>
        </w:tabs>
        <w:spacing w:before="240" w:after="120" w:line="240" w:lineRule="auto"/>
        <w:rPr>
          <w:rFonts w:ascii="Arial" w:eastAsia="Arial" w:hAnsi="Arial" w:cs="Arial"/>
          <w:b/>
          <w:color w:val="000000"/>
          <w:sz w:val="24"/>
          <w:szCs w:val="24"/>
        </w:rPr>
      </w:pPr>
      <w:r>
        <w:rPr>
          <w:rFonts w:ascii="Arial" w:eastAsia="Arial" w:hAnsi="Arial" w:cs="Arial"/>
          <w:b/>
          <w:sz w:val="24"/>
          <w:szCs w:val="24"/>
        </w:rPr>
        <w:t>Persistent</w:t>
      </w:r>
      <w:r>
        <w:rPr>
          <w:rFonts w:ascii="Arial" w:eastAsia="Arial" w:hAnsi="Arial" w:cs="Arial"/>
          <w:b/>
          <w:color w:val="000000"/>
          <w:sz w:val="24"/>
          <w:szCs w:val="24"/>
        </w:rPr>
        <w:t xml:space="preserve"> KPI Failure</w:t>
      </w:r>
    </w:p>
    <w:p w14:paraId="56DE6811" w14:textId="77777777" w:rsidR="003906CD" w:rsidRDefault="00930550">
      <w:pPr>
        <w:pBdr>
          <w:top w:val="nil"/>
          <w:left w:val="nil"/>
          <w:bottom w:val="nil"/>
          <w:right w:val="nil"/>
          <w:between w:val="nil"/>
        </w:pBdr>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 xml:space="preserve">On the occurrence of a </w:t>
      </w:r>
      <w:r>
        <w:rPr>
          <w:rFonts w:ascii="Arial" w:eastAsia="Arial" w:hAnsi="Arial" w:cs="Arial"/>
          <w:sz w:val="24"/>
          <w:szCs w:val="24"/>
        </w:rPr>
        <w:t>Persistent</w:t>
      </w:r>
      <w:r>
        <w:rPr>
          <w:rFonts w:ascii="Arial" w:eastAsia="Arial" w:hAnsi="Arial" w:cs="Arial"/>
          <w:color w:val="000000"/>
          <w:sz w:val="24"/>
          <w:szCs w:val="24"/>
        </w:rPr>
        <w:t xml:space="preserve"> KPI Failure:</w:t>
      </w:r>
    </w:p>
    <w:p w14:paraId="2D4B4971" w14:textId="77777777" w:rsidR="003906CD" w:rsidRDefault="00930550">
      <w:pPr>
        <w:numPr>
          <w:ilvl w:val="1"/>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KPI Credits that would otherwise have accrued during the relevant Service Period shall not accrue; and</w:t>
      </w:r>
    </w:p>
    <w:p w14:paraId="3C4D31CB" w14:textId="77777777" w:rsidR="003906CD" w:rsidRDefault="00930550">
      <w:pPr>
        <w:numPr>
          <w:ilvl w:val="1"/>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be entitled to withhold and retain as compensation a sum equal to any Charges relating to the Persistent KPI Failure which would otherwise have been due to the Supplier in respect of that Service Period ("</w:t>
      </w:r>
      <w:r>
        <w:rPr>
          <w:rFonts w:ascii="Arial" w:eastAsia="Arial" w:hAnsi="Arial" w:cs="Arial"/>
          <w:b/>
          <w:color w:val="000000"/>
          <w:sz w:val="24"/>
          <w:szCs w:val="24"/>
        </w:rPr>
        <w:t>Compensation for Persistent KPI Failure</w:t>
      </w:r>
      <w:r>
        <w:rPr>
          <w:rFonts w:ascii="Arial" w:eastAsia="Arial" w:hAnsi="Arial" w:cs="Arial"/>
          <w:color w:val="000000"/>
          <w:sz w:val="24"/>
          <w:szCs w:val="24"/>
        </w:rPr>
        <w:t>"),</w:t>
      </w:r>
    </w:p>
    <w:p w14:paraId="787C05FE" w14:textId="77777777" w:rsidR="003906CD" w:rsidRDefault="00930550">
      <w:pPr>
        <w:pBdr>
          <w:top w:val="nil"/>
          <w:left w:val="nil"/>
          <w:bottom w:val="nil"/>
          <w:right w:val="nil"/>
          <w:between w:val="nil"/>
        </w:pBdr>
        <w:tabs>
          <w:tab w:val="left" w:pos="3402"/>
        </w:tabs>
        <w:spacing w:after="220" w:line="240" w:lineRule="auto"/>
        <w:ind w:left="720"/>
        <w:rPr>
          <w:rFonts w:ascii="Arial" w:eastAsia="Arial" w:hAnsi="Arial" w:cs="Arial"/>
          <w:color w:val="000000"/>
          <w:sz w:val="24"/>
          <w:szCs w:val="24"/>
        </w:rPr>
      </w:pPr>
      <w:r>
        <w:rPr>
          <w:rFonts w:ascii="Arial" w:eastAsia="Arial" w:hAnsi="Arial" w:cs="Arial"/>
          <w:color w:val="000000"/>
          <w:sz w:val="24"/>
          <w:szCs w:val="24"/>
        </w:rPr>
        <w:lastRenderedPageBreak/>
        <w:t>provided that the operation of this paragraph 3 shall be without prejudice to the right of the Buyer to terminate this Contract and/or to claim damages from the Supplier for material Default.</w:t>
      </w:r>
    </w:p>
    <w:p w14:paraId="48FEEBE4" w14:textId="77777777" w:rsidR="003906CD" w:rsidRDefault="003906CD">
      <w:pPr>
        <w:keepNext/>
        <w:pBdr>
          <w:top w:val="nil"/>
          <w:left w:val="nil"/>
          <w:bottom w:val="nil"/>
          <w:right w:val="nil"/>
          <w:between w:val="nil"/>
        </w:pBdr>
        <w:spacing w:after="240" w:line="240" w:lineRule="auto"/>
        <w:rPr>
          <w:rFonts w:ascii="Arial" w:eastAsia="Arial" w:hAnsi="Arial" w:cs="Arial"/>
          <w:b/>
          <w:color w:val="000000"/>
          <w:sz w:val="36"/>
          <w:szCs w:val="36"/>
        </w:rPr>
      </w:pPr>
      <w:bookmarkStart w:id="5" w:name="_heading=h.1fob9te" w:colFirst="0" w:colLast="0"/>
      <w:bookmarkEnd w:id="5"/>
    </w:p>
    <w:p w14:paraId="76AC652A" w14:textId="77777777" w:rsidR="003906CD" w:rsidRDefault="003906CD">
      <w:pPr>
        <w:keepNext/>
        <w:pBdr>
          <w:top w:val="nil"/>
          <w:left w:val="nil"/>
          <w:bottom w:val="nil"/>
          <w:right w:val="nil"/>
          <w:between w:val="nil"/>
        </w:pBdr>
        <w:spacing w:after="240" w:line="240" w:lineRule="auto"/>
        <w:rPr>
          <w:rFonts w:ascii="Arial" w:eastAsia="Arial" w:hAnsi="Arial" w:cs="Arial"/>
          <w:b/>
          <w:color w:val="000000"/>
          <w:sz w:val="36"/>
          <w:szCs w:val="36"/>
        </w:rPr>
      </w:pPr>
    </w:p>
    <w:p w14:paraId="4EB1E635" w14:textId="77777777" w:rsidR="003906CD" w:rsidRDefault="00930550">
      <w:pPr>
        <w:keepNext/>
        <w:pBdr>
          <w:top w:val="nil"/>
          <w:left w:val="nil"/>
          <w:bottom w:val="nil"/>
          <w:right w:val="nil"/>
          <w:between w:val="nil"/>
        </w:pBdr>
        <w:spacing w:after="240" w:line="240" w:lineRule="auto"/>
        <w:rPr>
          <w:rFonts w:ascii="Arial" w:eastAsia="Arial" w:hAnsi="Arial" w:cs="Arial"/>
          <w:b/>
          <w:color w:val="000000"/>
          <w:sz w:val="36"/>
          <w:szCs w:val="36"/>
        </w:rPr>
      </w:pPr>
      <w:r>
        <w:rPr>
          <w:rFonts w:ascii="Arial" w:eastAsia="Arial" w:hAnsi="Arial" w:cs="Arial"/>
          <w:b/>
          <w:color w:val="000000"/>
          <w:sz w:val="36"/>
          <w:szCs w:val="36"/>
        </w:rPr>
        <w:t xml:space="preserve">Part A: KPI Performance Measures and KPI Credits </w:t>
      </w:r>
    </w:p>
    <w:p w14:paraId="19D9531A" w14:textId="77777777" w:rsidR="003906CD" w:rsidRDefault="00930550">
      <w:pPr>
        <w:numPr>
          <w:ilvl w:val="0"/>
          <w:numId w:val="3"/>
        </w:numPr>
        <w:pBdr>
          <w:top w:val="nil"/>
          <w:left w:val="nil"/>
          <w:bottom w:val="nil"/>
          <w:right w:val="nil"/>
          <w:between w:val="nil"/>
        </w:pBdr>
        <w:tabs>
          <w:tab w:val="left" w:pos="142"/>
        </w:tabs>
        <w:spacing w:before="240" w:after="120" w:line="240" w:lineRule="auto"/>
        <w:rPr>
          <w:rFonts w:ascii="Arial" w:eastAsia="Arial" w:hAnsi="Arial" w:cs="Arial"/>
          <w:b/>
          <w:color w:val="000000"/>
          <w:sz w:val="24"/>
          <w:szCs w:val="24"/>
        </w:rPr>
      </w:pPr>
      <w:r>
        <w:rPr>
          <w:rFonts w:ascii="Arial" w:eastAsia="Arial" w:hAnsi="Arial" w:cs="Arial"/>
          <w:b/>
          <w:color w:val="000000"/>
          <w:sz w:val="24"/>
          <w:szCs w:val="24"/>
        </w:rPr>
        <w:t>KPIs</w:t>
      </w:r>
    </w:p>
    <w:p w14:paraId="4155C9BD" w14:textId="77777777" w:rsidR="003906CD" w:rsidRDefault="00930550">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If the level of performance of the Supplier:</w:t>
      </w:r>
    </w:p>
    <w:p w14:paraId="13292178" w14:textId="77777777" w:rsidR="003906CD" w:rsidRDefault="00930550">
      <w:pPr>
        <w:numPr>
          <w:ilvl w:val="1"/>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is likely to or fails to meet any KPI Performance Measure; or</w:t>
      </w:r>
    </w:p>
    <w:p w14:paraId="2BF5A8D9" w14:textId="4A7E5ED6" w:rsidR="003906CD" w:rsidRDefault="00930550">
      <w:pPr>
        <w:numPr>
          <w:ilvl w:val="1"/>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is likely to cause or causes a Persistent KPI</w:t>
      </w:r>
      <w:r w:rsidR="008F4CAF">
        <w:rPr>
          <w:rFonts w:ascii="Arial" w:eastAsia="Arial" w:hAnsi="Arial" w:cs="Arial"/>
          <w:color w:val="000000"/>
          <w:sz w:val="24"/>
          <w:szCs w:val="24"/>
        </w:rPr>
        <w:t xml:space="preserve"> </w:t>
      </w:r>
      <w:r>
        <w:rPr>
          <w:rFonts w:ascii="Arial" w:eastAsia="Arial" w:hAnsi="Arial" w:cs="Arial"/>
          <w:color w:val="000000"/>
          <w:sz w:val="24"/>
          <w:szCs w:val="24"/>
        </w:rPr>
        <w:t xml:space="preserve">Failure to occur, </w:t>
      </w:r>
    </w:p>
    <w:p w14:paraId="0A5B65C7" w14:textId="77777777" w:rsidR="003906CD" w:rsidRDefault="00930550">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the Supplier shall immediately notify the Buyer in writing and the Buyer, in its absolute discretion and without limiting any other of its rights, may:</w:t>
      </w:r>
    </w:p>
    <w:p w14:paraId="6F5C27B5" w14:textId="77777777" w:rsidR="003906CD" w:rsidRDefault="00930550">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require the Supplier to immediately take all preventative and/or remedial action that is reasonable to mitigate the impact on the Buyer and to rectify or prevent a KPI Performance Measure Failure or Persistent KPI Failure from taking place or recurring; </w:t>
      </w:r>
    </w:p>
    <w:p w14:paraId="3D6C2F3C" w14:textId="77777777" w:rsidR="003906CD" w:rsidRDefault="00930550">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instruct the Supplier to comply with the Rectification Plan Process; </w:t>
      </w:r>
    </w:p>
    <w:p w14:paraId="7A5CDA99" w14:textId="77777777" w:rsidR="003906CD" w:rsidRDefault="00930550">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 KPI Failure has occurred, deduct the applicable KPI Credits payable by the Supplier to the Buyer; and/or</w:t>
      </w:r>
    </w:p>
    <w:p w14:paraId="573B1C90" w14:textId="77777777" w:rsidR="003906CD" w:rsidRDefault="00930550">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 Persistent KPI Failure has occurred, exercise its right to Compensation for Persistent KPI Failure (including the right to terminate for material Default).</w:t>
      </w:r>
    </w:p>
    <w:p w14:paraId="11C39941" w14:textId="77777777" w:rsidR="003906CD" w:rsidRDefault="003906CD">
      <w:pPr>
        <w:pBdr>
          <w:top w:val="nil"/>
          <w:left w:val="nil"/>
          <w:bottom w:val="nil"/>
          <w:right w:val="nil"/>
          <w:between w:val="nil"/>
        </w:pBdr>
        <w:spacing w:before="120" w:after="120" w:line="240" w:lineRule="auto"/>
        <w:rPr>
          <w:rFonts w:ascii="Arial" w:eastAsia="Arial" w:hAnsi="Arial" w:cs="Arial"/>
          <w:color w:val="000000"/>
          <w:sz w:val="24"/>
          <w:szCs w:val="24"/>
        </w:rPr>
      </w:pPr>
    </w:p>
    <w:p w14:paraId="17DB1D65" w14:textId="77777777" w:rsidR="003906CD" w:rsidRDefault="00930550">
      <w:pPr>
        <w:numPr>
          <w:ilvl w:val="0"/>
          <w:numId w:val="3"/>
        </w:numPr>
        <w:pBdr>
          <w:top w:val="nil"/>
          <w:left w:val="nil"/>
          <w:bottom w:val="nil"/>
          <w:right w:val="nil"/>
          <w:between w:val="nil"/>
        </w:pBdr>
        <w:tabs>
          <w:tab w:val="left" w:pos="142"/>
        </w:tabs>
        <w:spacing w:before="240" w:after="120" w:line="240" w:lineRule="auto"/>
        <w:rPr>
          <w:rFonts w:ascii="Arial" w:eastAsia="Arial" w:hAnsi="Arial" w:cs="Arial"/>
          <w:b/>
          <w:color w:val="000000"/>
          <w:sz w:val="24"/>
          <w:szCs w:val="24"/>
        </w:rPr>
      </w:pPr>
      <w:r>
        <w:rPr>
          <w:rFonts w:ascii="Arial" w:eastAsia="Arial" w:hAnsi="Arial" w:cs="Arial"/>
          <w:b/>
          <w:color w:val="000000"/>
          <w:sz w:val="24"/>
          <w:szCs w:val="24"/>
        </w:rPr>
        <w:t>KPI Credits</w:t>
      </w:r>
    </w:p>
    <w:p w14:paraId="4C0369CE" w14:textId="77777777" w:rsidR="003906CD" w:rsidRDefault="00930550">
      <w:pPr>
        <w:numPr>
          <w:ilvl w:val="1"/>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use the Performance Monitoring Reports supplied by the Supplier to verify the calculation and accuracy of the KPI Credits, if any, applicable to each Service Period.</w:t>
      </w:r>
    </w:p>
    <w:p w14:paraId="39FEF3EE" w14:textId="77777777" w:rsidR="003906CD" w:rsidRDefault="00930550">
      <w:pPr>
        <w:numPr>
          <w:ilvl w:val="1"/>
          <w:numId w:val="3"/>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 xml:space="preserve">KPI Credits are a reduction of the amounts payable in respect of the Deliverables and do not include VAT. The Supplier shall </w:t>
      </w:r>
      <w:r>
        <w:rPr>
          <w:rFonts w:ascii="Arial" w:eastAsia="Arial" w:hAnsi="Arial" w:cs="Arial"/>
          <w:sz w:val="24"/>
          <w:szCs w:val="24"/>
        </w:rPr>
        <w:t>set-off</w:t>
      </w:r>
      <w:r>
        <w:rPr>
          <w:rFonts w:ascii="Arial" w:eastAsia="Arial" w:hAnsi="Arial" w:cs="Arial"/>
          <w:color w:val="000000"/>
          <w:sz w:val="24"/>
          <w:szCs w:val="24"/>
        </w:rPr>
        <w:t xml:space="preserve"> the value of any KPI Credits against the appropriate invoice in accordance with </w:t>
      </w:r>
      <w:r>
        <w:rPr>
          <w:rFonts w:ascii="Arial" w:eastAsia="Arial" w:hAnsi="Arial" w:cs="Arial"/>
          <w:sz w:val="24"/>
          <w:szCs w:val="24"/>
        </w:rPr>
        <w:t xml:space="preserve">the relevant </w:t>
      </w:r>
      <w:r>
        <w:rPr>
          <w:rFonts w:ascii="Arial" w:eastAsia="Arial" w:hAnsi="Arial" w:cs="Arial"/>
          <w:color w:val="000000"/>
          <w:sz w:val="24"/>
          <w:szCs w:val="24"/>
        </w:rPr>
        <w:t>calculation formula detailed in clause 3 below</w:t>
      </w:r>
      <w:r>
        <w:rPr>
          <w:rFonts w:ascii="Arial" w:eastAsia="Arial" w:hAnsi="Arial" w:cs="Arial"/>
          <w:sz w:val="24"/>
          <w:szCs w:val="24"/>
        </w:rPr>
        <w:t xml:space="preserve">. </w:t>
      </w:r>
    </w:p>
    <w:p w14:paraId="04E0C11D" w14:textId="77777777" w:rsidR="003906CD" w:rsidRDefault="00930550">
      <w:pPr>
        <w:numPr>
          <w:ilvl w:val="0"/>
          <w:numId w:val="3"/>
        </w:numPr>
        <w:pBdr>
          <w:top w:val="nil"/>
          <w:left w:val="nil"/>
          <w:bottom w:val="nil"/>
          <w:right w:val="nil"/>
          <w:between w:val="nil"/>
        </w:pBdr>
        <w:spacing w:after="240" w:line="240" w:lineRule="auto"/>
        <w:jc w:val="both"/>
        <w:rPr>
          <w:rFonts w:ascii="Arial" w:eastAsia="Arial" w:hAnsi="Arial" w:cs="Arial"/>
          <w:color w:val="000000"/>
        </w:rPr>
      </w:pPr>
      <w:bookmarkStart w:id="6" w:name="_heading=h.17dp8vu" w:colFirst="0" w:colLast="0"/>
      <w:bookmarkEnd w:id="6"/>
      <w:r>
        <w:rPr>
          <w:rFonts w:ascii="Arial" w:eastAsia="Arial" w:hAnsi="Arial" w:cs="Arial"/>
          <w:b/>
          <w:color w:val="000000"/>
          <w:sz w:val="24"/>
          <w:szCs w:val="24"/>
        </w:rPr>
        <w:t>KPI</w:t>
      </w:r>
      <w:r>
        <w:rPr>
          <w:rFonts w:ascii="Arial" w:eastAsia="Arial" w:hAnsi="Arial" w:cs="Arial"/>
          <w:b/>
          <w:smallCaps/>
          <w:color w:val="000000"/>
          <w:sz w:val="24"/>
          <w:szCs w:val="24"/>
        </w:rPr>
        <w:t xml:space="preserve"> </w:t>
      </w:r>
      <w:r>
        <w:rPr>
          <w:rFonts w:ascii="Arial" w:eastAsia="Arial" w:hAnsi="Arial" w:cs="Arial"/>
          <w:b/>
          <w:color w:val="000000"/>
          <w:sz w:val="24"/>
          <w:szCs w:val="24"/>
        </w:rPr>
        <w:t>Credit Calculation</w:t>
      </w:r>
    </w:p>
    <w:p w14:paraId="3D5D2C3C" w14:textId="77777777" w:rsidR="003906CD" w:rsidRDefault="00930550">
      <w:pPr>
        <w:numPr>
          <w:ilvl w:val="1"/>
          <w:numId w:val="3"/>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bookmarkStart w:id="7" w:name="_heading=h.3rdcrjn" w:colFirst="0" w:colLast="0"/>
      <w:bookmarkEnd w:id="7"/>
      <w:r>
        <w:rPr>
          <w:rFonts w:ascii="Arial" w:eastAsia="Arial" w:hAnsi="Arial" w:cs="Arial"/>
          <w:color w:val="000000"/>
          <w:sz w:val="24"/>
          <w:szCs w:val="24"/>
        </w:rPr>
        <w:t>At Risk Amount</w:t>
      </w:r>
    </w:p>
    <w:p w14:paraId="3A76C434" w14:textId="77777777" w:rsidR="003906CD" w:rsidRDefault="00930550">
      <w:pPr>
        <w:numPr>
          <w:ilvl w:val="1"/>
          <w:numId w:val="3"/>
        </w:numPr>
        <w:pBdr>
          <w:top w:val="nil"/>
          <w:left w:val="nil"/>
          <w:bottom w:val="nil"/>
          <w:right w:val="nil"/>
          <w:between w:val="nil"/>
        </w:pBdr>
        <w:tabs>
          <w:tab w:val="left" w:pos="144"/>
        </w:tabs>
        <w:spacing w:after="120" w:line="240" w:lineRule="auto"/>
        <w:jc w:val="both"/>
      </w:pPr>
      <w:bookmarkStart w:id="8" w:name="_heading=h.lnxbz9" w:colFirst="0" w:colLast="0"/>
      <w:bookmarkEnd w:id="8"/>
      <w:r>
        <w:rPr>
          <w:rFonts w:ascii="Arial" w:eastAsia="Arial" w:hAnsi="Arial" w:cs="Arial"/>
          <w:color w:val="000000"/>
          <w:sz w:val="24"/>
          <w:szCs w:val="24"/>
        </w:rPr>
        <w:t xml:space="preserve">For a Service Period, the </w:t>
      </w:r>
      <w:proofErr w:type="gramStart"/>
      <w:r>
        <w:rPr>
          <w:rFonts w:ascii="Arial" w:eastAsia="Arial" w:hAnsi="Arial" w:cs="Arial"/>
          <w:color w:val="000000"/>
          <w:sz w:val="24"/>
          <w:szCs w:val="24"/>
        </w:rPr>
        <w:t>At Risk</w:t>
      </w:r>
      <w:proofErr w:type="gramEnd"/>
      <w:r>
        <w:rPr>
          <w:rFonts w:ascii="Arial" w:eastAsia="Arial" w:hAnsi="Arial" w:cs="Arial"/>
          <w:color w:val="000000"/>
          <w:sz w:val="24"/>
          <w:szCs w:val="24"/>
        </w:rPr>
        <w:t xml:space="preserve"> Amount shall be calculated in accordance with Section 2 - Calculation of Monthly At Risk Amount, of </w:t>
      </w:r>
      <w:r>
        <w:rPr>
          <w:rFonts w:ascii="Arial" w:eastAsia="Arial" w:hAnsi="Arial" w:cs="Arial"/>
          <w:color w:val="000000"/>
          <w:sz w:val="24"/>
          <w:szCs w:val="24"/>
        </w:rPr>
        <w:lastRenderedPageBreak/>
        <w:t xml:space="preserve">the Paymech Calc Overview tab of the KPI Paymech Model. KPI Category </w:t>
      </w:r>
      <w:proofErr w:type="gramStart"/>
      <w:r>
        <w:rPr>
          <w:rFonts w:ascii="Arial" w:eastAsia="Arial" w:hAnsi="Arial" w:cs="Arial"/>
          <w:color w:val="000000"/>
          <w:sz w:val="24"/>
          <w:szCs w:val="24"/>
        </w:rPr>
        <w:t>At</w:t>
      </w:r>
      <w:proofErr w:type="gramEnd"/>
      <w:r>
        <w:rPr>
          <w:rFonts w:ascii="Arial" w:eastAsia="Arial" w:hAnsi="Arial" w:cs="Arial"/>
          <w:color w:val="000000"/>
          <w:sz w:val="24"/>
          <w:szCs w:val="24"/>
        </w:rPr>
        <w:t xml:space="preserve"> Risk Amount </w:t>
      </w:r>
    </w:p>
    <w:p w14:paraId="7951C086" w14:textId="77777777" w:rsidR="003906CD" w:rsidRDefault="00930550">
      <w:pPr>
        <w:numPr>
          <w:ilvl w:val="2"/>
          <w:numId w:val="3"/>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KPI Category At Risk Amount shall be calculated as follows: for each KPI </w:t>
      </w:r>
      <w:proofErr w:type="gramStart"/>
      <w:r>
        <w:rPr>
          <w:rFonts w:ascii="Arial" w:eastAsia="Arial" w:hAnsi="Arial" w:cs="Arial"/>
          <w:color w:val="000000"/>
          <w:sz w:val="24"/>
          <w:szCs w:val="24"/>
        </w:rPr>
        <w:t>Category,,</w:t>
      </w:r>
      <w:proofErr w:type="gramEnd"/>
      <w:r>
        <w:rPr>
          <w:rFonts w:ascii="Arial" w:eastAsia="Arial" w:hAnsi="Arial" w:cs="Arial"/>
          <w:color w:val="000000"/>
          <w:sz w:val="24"/>
          <w:szCs w:val="24"/>
        </w:rPr>
        <w:t xml:space="preserve"> the At Risk Amount shall be apportioned to it in accordance with the KPI Measure Weightings in the column headed KPI Measure Weighting % in the KPI Performance Measures Table 2 of the KPI Measures tab of the KPI Paymech Model.</w:t>
      </w:r>
    </w:p>
    <w:p w14:paraId="5053D961" w14:textId="77777777" w:rsidR="003906CD" w:rsidRDefault="00930550">
      <w:pPr>
        <w:numPr>
          <w:ilvl w:val="1"/>
          <w:numId w:val="3"/>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bookmarkStart w:id="9" w:name="_heading=h.35nkun2" w:colFirst="0" w:colLast="0"/>
      <w:bookmarkEnd w:id="9"/>
      <w:r>
        <w:rPr>
          <w:rFonts w:ascii="Arial" w:eastAsia="Arial" w:hAnsi="Arial" w:cs="Arial"/>
          <w:color w:val="000000"/>
          <w:sz w:val="24"/>
          <w:szCs w:val="24"/>
        </w:rPr>
        <w:t xml:space="preserve">KPI Credit </w:t>
      </w:r>
    </w:p>
    <w:p w14:paraId="3BC72C17" w14:textId="77777777" w:rsidR="003906CD" w:rsidRDefault="00930550">
      <w:pPr>
        <w:numPr>
          <w:ilvl w:val="2"/>
          <w:numId w:val="3"/>
        </w:numPr>
        <w:pBdr>
          <w:top w:val="nil"/>
          <w:left w:val="nil"/>
          <w:bottom w:val="nil"/>
          <w:right w:val="nil"/>
          <w:between w:val="nil"/>
        </w:pBdr>
        <w:tabs>
          <w:tab w:val="left" w:pos="144"/>
        </w:tabs>
        <w:spacing w:after="120" w:line="240" w:lineRule="auto"/>
        <w:jc w:val="both"/>
      </w:pPr>
      <w:r>
        <w:rPr>
          <w:rFonts w:ascii="Arial" w:eastAsia="Arial" w:hAnsi="Arial" w:cs="Arial"/>
          <w:color w:val="000000"/>
          <w:sz w:val="24"/>
          <w:szCs w:val="24"/>
        </w:rPr>
        <w:t>The KPI Credit to be applied to a KPI Performance Measure in a Service Period for a KPI Performance Measure Failure shall be determined by the outcome in the score threshold achieved. If the score threshold is not achieved, a KPI Credit shall be applied as per the KPI Category at Risk Amount in Table 2</w:t>
      </w:r>
      <w:proofErr w:type="gramStart"/>
      <w:r>
        <w:rPr>
          <w:rFonts w:ascii="Arial" w:eastAsia="Arial" w:hAnsi="Arial" w:cs="Arial"/>
          <w:color w:val="000000"/>
          <w:sz w:val="24"/>
          <w:szCs w:val="24"/>
        </w:rPr>
        <w:t>. .</w:t>
      </w:r>
      <w:proofErr w:type="gramEnd"/>
    </w:p>
    <w:p w14:paraId="62F33DA1" w14:textId="77777777" w:rsidR="003906CD" w:rsidRDefault="003906CD">
      <w:pPr>
        <w:pBdr>
          <w:top w:val="nil"/>
          <w:left w:val="nil"/>
          <w:bottom w:val="nil"/>
          <w:right w:val="nil"/>
          <w:between w:val="nil"/>
        </w:pBdr>
        <w:tabs>
          <w:tab w:val="left" w:pos="144"/>
        </w:tabs>
        <w:spacing w:after="120" w:line="240" w:lineRule="auto"/>
        <w:ind w:left="2880"/>
        <w:jc w:val="both"/>
        <w:rPr>
          <w:rFonts w:ascii="Arial" w:eastAsia="Arial" w:hAnsi="Arial" w:cs="Arial"/>
          <w:color w:val="000000"/>
          <w:sz w:val="24"/>
          <w:szCs w:val="24"/>
        </w:rPr>
      </w:pPr>
    </w:p>
    <w:p w14:paraId="28902A13" w14:textId="77777777" w:rsidR="003906CD" w:rsidRDefault="00930550">
      <w:pPr>
        <w:numPr>
          <w:ilvl w:val="0"/>
          <w:numId w:val="3"/>
        </w:numPr>
        <w:pBdr>
          <w:top w:val="nil"/>
          <w:left w:val="nil"/>
          <w:bottom w:val="nil"/>
          <w:right w:val="nil"/>
          <w:between w:val="nil"/>
        </w:pBdr>
        <w:spacing w:after="240" w:line="240" w:lineRule="auto"/>
        <w:jc w:val="both"/>
        <w:rPr>
          <w:rFonts w:ascii="Arial" w:eastAsia="Arial" w:hAnsi="Arial" w:cs="Arial"/>
          <w:color w:val="000000"/>
        </w:rPr>
      </w:pPr>
      <w:bookmarkStart w:id="10" w:name="_heading=h.1ksv4uv" w:colFirst="0" w:colLast="0"/>
      <w:bookmarkEnd w:id="10"/>
      <w:r>
        <w:rPr>
          <w:rFonts w:ascii="Arial" w:eastAsia="Arial" w:hAnsi="Arial" w:cs="Arial"/>
          <w:b/>
          <w:color w:val="000000"/>
        </w:rPr>
        <w:t>KPI Credit – Full Retention Threshold (Optional)</w:t>
      </w:r>
    </w:p>
    <w:p w14:paraId="3DAAD38C" w14:textId="77777777" w:rsidR="003906CD" w:rsidRDefault="00930550">
      <w:pPr>
        <w:numPr>
          <w:ilvl w:val="1"/>
          <w:numId w:val="3"/>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bookmarkStart w:id="11" w:name="_heading=h.44sinio" w:colFirst="0" w:colLast="0"/>
      <w:bookmarkEnd w:id="11"/>
      <w:r>
        <w:rPr>
          <w:rFonts w:ascii="Arial" w:eastAsia="Arial" w:hAnsi="Arial" w:cs="Arial"/>
          <w:color w:val="000000"/>
          <w:sz w:val="24"/>
          <w:szCs w:val="24"/>
        </w:rPr>
        <w:t>An optional ‘Full Retention Threshold</w:t>
      </w:r>
      <w:proofErr w:type="gramStart"/>
      <w:r>
        <w:rPr>
          <w:rFonts w:ascii="Arial" w:eastAsia="Arial" w:hAnsi="Arial" w:cs="Arial"/>
          <w:color w:val="000000"/>
          <w:sz w:val="24"/>
          <w:szCs w:val="24"/>
        </w:rPr>
        <w:t>’  can</w:t>
      </w:r>
      <w:proofErr w:type="gramEnd"/>
      <w:r>
        <w:rPr>
          <w:rFonts w:ascii="Arial" w:eastAsia="Arial" w:hAnsi="Arial" w:cs="Arial"/>
          <w:color w:val="000000"/>
          <w:sz w:val="24"/>
          <w:szCs w:val="24"/>
        </w:rPr>
        <w:t xml:space="preserve"> apply to the calculation of KPI Credits where the KPI Measure Weighting % (set by the Buyer) against each KPI Category that fails, equals or exceeds a ‘Full Retention Threshold %’ (set by the Buyer). </w:t>
      </w:r>
    </w:p>
    <w:p w14:paraId="5D8287FC" w14:textId="77777777" w:rsidR="003906CD" w:rsidRDefault="00930550">
      <w:pPr>
        <w:numPr>
          <w:ilvl w:val="1"/>
          <w:numId w:val="3"/>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Where the ‘Full Retention Threshold %’ (set by the Buyer) is met or exceeded, the full ‘At Risk Amount’ for that Service Period will be deducted.</w:t>
      </w:r>
    </w:p>
    <w:p w14:paraId="73A7BE7D" w14:textId="77777777" w:rsidR="003906CD" w:rsidRDefault="00930550">
      <w:pPr>
        <w:numPr>
          <w:ilvl w:val="1"/>
          <w:numId w:val="3"/>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value of the Full Retention Threshold % and when it is to be applied pursuant to Paragraph 4.1, </w:t>
      </w:r>
      <w:r>
        <w:rPr>
          <w:rFonts w:ascii="Arial" w:eastAsia="Arial" w:hAnsi="Arial" w:cs="Arial"/>
          <w:color w:val="222222"/>
          <w:sz w:val="24"/>
          <w:szCs w:val="24"/>
          <w:highlight w:val="white"/>
        </w:rPr>
        <w:t>is set out in the KPI Measures</w:t>
      </w:r>
      <w:r>
        <w:rPr>
          <w:rFonts w:ascii="Arial" w:eastAsia="Arial" w:hAnsi="Arial" w:cs="Arial"/>
          <w:color w:val="222222"/>
          <w:sz w:val="24"/>
          <w:szCs w:val="24"/>
        </w:rPr>
        <w:t xml:space="preserve"> tab</w:t>
      </w:r>
      <w:r>
        <w:rPr>
          <w:rFonts w:ascii="Arial" w:eastAsia="Arial" w:hAnsi="Arial" w:cs="Arial"/>
          <w:color w:val="222222"/>
          <w:sz w:val="24"/>
          <w:szCs w:val="24"/>
          <w:highlight w:val="white"/>
        </w:rPr>
        <w:t xml:space="preserve"> of the </w:t>
      </w:r>
      <w:r>
        <w:rPr>
          <w:rFonts w:ascii="Arial" w:eastAsia="Arial" w:hAnsi="Arial" w:cs="Arial"/>
          <w:color w:val="222222"/>
          <w:sz w:val="24"/>
          <w:szCs w:val="24"/>
        </w:rPr>
        <w:t>KPI Paymech Model</w:t>
      </w:r>
      <w:r>
        <w:rPr>
          <w:rFonts w:ascii="Arial" w:eastAsia="Arial" w:hAnsi="Arial" w:cs="Arial"/>
          <w:color w:val="000000"/>
          <w:sz w:val="24"/>
          <w:szCs w:val="24"/>
        </w:rPr>
        <w:t>.</w:t>
      </w:r>
    </w:p>
    <w:p w14:paraId="0543A97D" w14:textId="77777777" w:rsidR="003906CD" w:rsidRDefault="003906CD">
      <w:pPr>
        <w:pBdr>
          <w:top w:val="nil"/>
          <w:left w:val="nil"/>
          <w:bottom w:val="nil"/>
          <w:right w:val="nil"/>
          <w:between w:val="nil"/>
        </w:pBdr>
        <w:tabs>
          <w:tab w:val="left" w:pos="144"/>
        </w:tabs>
        <w:spacing w:after="120" w:line="240" w:lineRule="auto"/>
        <w:ind w:left="1440"/>
        <w:jc w:val="both"/>
        <w:rPr>
          <w:rFonts w:ascii="Arial" w:eastAsia="Arial" w:hAnsi="Arial" w:cs="Arial"/>
          <w:color w:val="000000"/>
          <w:sz w:val="24"/>
          <w:szCs w:val="24"/>
        </w:rPr>
      </w:pPr>
    </w:p>
    <w:p w14:paraId="0FC9DF6E" w14:textId="77777777" w:rsidR="003906CD" w:rsidRDefault="003906CD">
      <w:pPr>
        <w:pBdr>
          <w:top w:val="nil"/>
          <w:left w:val="nil"/>
          <w:bottom w:val="nil"/>
          <w:right w:val="nil"/>
          <w:between w:val="nil"/>
        </w:pBdr>
        <w:tabs>
          <w:tab w:val="left" w:pos="144"/>
        </w:tabs>
        <w:spacing w:after="120" w:line="240" w:lineRule="auto"/>
        <w:ind w:left="1440"/>
        <w:jc w:val="both"/>
        <w:rPr>
          <w:rFonts w:ascii="Arial" w:eastAsia="Arial" w:hAnsi="Arial" w:cs="Arial"/>
          <w:color w:val="000000"/>
          <w:sz w:val="24"/>
          <w:szCs w:val="24"/>
        </w:rPr>
      </w:pPr>
    </w:p>
    <w:p w14:paraId="4E8D2938" w14:textId="77777777" w:rsidR="003906CD" w:rsidRDefault="00930550">
      <w:pPr>
        <w:numPr>
          <w:ilvl w:val="0"/>
          <w:numId w:val="3"/>
        </w:numPr>
        <w:pBdr>
          <w:top w:val="nil"/>
          <w:left w:val="nil"/>
          <w:bottom w:val="nil"/>
          <w:right w:val="nil"/>
          <w:between w:val="nil"/>
        </w:pBdr>
        <w:spacing w:after="240" w:line="240" w:lineRule="auto"/>
        <w:jc w:val="both"/>
        <w:rPr>
          <w:rFonts w:ascii="Arial" w:eastAsia="Arial" w:hAnsi="Arial" w:cs="Arial"/>
          <w:color w:val="000000"/>
        </w:rPr>
      </w:pPr>
      <w:bookmarkStart w:id="12" w:name="_heading=h.z337ya" w:colFirst="0" w:colLast="0"/>
      <w:bookmarkEnd w:id="12"/>
      <w:r>
        <w:rPr>
          <w:rFonts w:ascii="Arial" w:eastAsia="Arial" w:hAnsi="Arial" w:cs="Arial"/>
          <w:b/>
          <w:color w:val="000000"/>
          <w:sz w:val="24"/>
          <w:szCs w:val="24"/>
        </w:rPr>
        <w:t>KPI Credit Earn Back</w:t>
      </w:r>
    </w:p>
    <w:p w14:paraId="18733445" w14:textId="77777777" w:rsidR="003906CD" w:rsidRDefault="00930550">
      <w:pPr>
        <w:numPr>
          <w:ilvl w:val="1"/>
          <w:numId w:val="3"/>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bookmarkStart w:id="13" w:name="_heading=h.3j2qqm3" w:colFirst="0" w:colLast="0"/>
      <w:bookmarkEnd w:id="13"/>
      <w:r>
        <w:rPr>
          <w:rFonts w:ascii="Arial" w:eastAsia="Arial" w:hAnsi="Arial" w:cs="Arial"/>
          <w:color w:val="000000"/>
          <w:sz w:val="24"/>
          <w:szCs w:val="24"/>
        </w:rPr>
        <w:t>If:</w:t>
      </w:r>
    </w:p>
    <w:p w14:paraId="16A8F643" w14:textId="77777777" w:rsidR="003906CD" w:rsidRDefault="00930550">
      <w:pPr>
        <w:numPr>
          <w:ilvl w:val="2"/>
          <w:numId w:val="3"/>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bookmarkStart w:id="14" w:name="_heading=h.1y810tw" w:colFirst="0" w:colLast="0"/>
      <w:bookmarkEnd w:id="14"/>
      <w:r>
        <w:rPr>
          <w:rFonts w:ascii="Arial" w:eastAsia="Arial" w:hAnsi="Arial" w:cs="Arial"/>
          <w:color w:val="000000"/>
          <w:sz w:val="24"/>
          <w:szCs w:val="24"/>
        </w:rPr>
        <w:t>in respect of a Service Period the Supplier has been liable to pay (and has paid) a KPI Credit in relation to a KPI Category; and</w:t>
      </w:r>
    </w:p>
    <w:p w14:paraId="6AFC2ED8" w14:textId="6D09274F" w:rsidR="003906CD" w:rsidRDefault="00930550">
      <w:pPr>
        <w:numPr>
          <w:ilvl w:val="2"/>
          <w:numId w:val="3"/>
        </w:numPr>
        <w:pBdr>
          <w:top w:val="nil"/>
          <w:left w:val="nil"/>
          <w:bottom w:val="nil"/>
          <w:right w:val="nil"/>
          <w:between w:val="nil"/>
        </w:pBdr>
        <w:tabs>
          <w:tab w:val="left" w:pos="144"/>
          <w:tab w:val="left" w:pos="142"/>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in the next Service Period, the Supplier is not liable to pay a KPI Credit in relation to the same KPI Category that was the subject of such KPI Credits in the previous Service Period,</w:t>
      </w:r>
    </w:p>
    <w:p w14:paraId="679E11BF" w14:textId="77777777" w:rsidR="003906CD" w:rsidRDefault="00930550">
      <w:pPr>
        <w:numPr>
          <w:ilvl w:val="1"/>
          <w:numId w:val="3"/>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be entitled to recover a proportion of such KPI Credit (</w:t>
      </w:r>
      <w:r>
        <w:rPr>
          <w:rFonts w:ascii="Arial" w:eastAsia="Arial" w:hAnsi="Arial" w:cs="Arial"/>
          <w:b/>
          <w:color w:val="000000"/>
          <w:sz w:val="24"/>
          <w:szCs w:val="24"/>
        </w:rPr>
        <w:t xml:space="preserve">"Earn </w:t>
      </w:r>
      <w:r>
        <w:rPr>
          <w:rFonts w:ascii="Arial" w:eastAsia="Arial" w:hAnsi="Arial" w:cs="Arial"/>
          <w:b/>
          <w:sz w:val="24"/>
          <w:szCs w:val="24"/>
        </w:rPr>
        <w:t>B</w:t>
      </w:r>
      <w:r>
        <w:rPr>
          <w:rFonts w:ascii="Arial" w:eastAsia="Arial" w:hAnsi="Arial" w:cs="Arial"/>
          <w:b/>
          <w:color w:val="000000"/>
          <w:sz w:val="24"/>
          <w:szCs w:val="24"/>
        </w:rPr>
        <w:t>ack"</w:t>
      </w:r>
      <w:r>
        <w:rPr>
          <w:rFonts w:ascii="Arial" w:eastAsia="Arial" w:hAnsi="Arial" w:cs="Arial"/>
          <w:color w:val="000000"/>
          <w:sz w:val="24"/>
          <w:szCs w:val="24"/>
        </w:rPr>
        <w:t>).</w:t>
      </w:r>
    </w:p>
    <w:p w14:paraId="361BC133" w14:textId="1335ED4D" w:rsidR="003906CD" w:rsidRDefault="00930550">
      <w:pPr>
        <w:numPr>
          <w:ilvl w:val="1"/>
          <w:numId w:val="3"/>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amount of the Earn </w:t>
      </w:r>
      <w:r>
        <w:rPr>
          <w:rFonts w:ascii="Arial" w:eastAsia="Arial" w:hAnsi="Arial" w:cs="Arial"/>
          <w:sz w:val="24"/>
          <w:szCs w:val="24"/>
        </w:rPr>
        <w:t>B</w:t>
      </w:r>
      <w:r>
        <w:rPr>
          <w:rFonts w:ascii="Arial" w:eastAsia="Arial" w:hAnsi="Arial" w:cs="Arial"/>
          <w:color w:val="000000"/>
          <w:sz w:val="24"/>
          <w:szCs w:val="24"/>
        </w:rPr>
        <w:t xml:space="preserve">ack shall be calculated as the product of the KPI Credit paid in the previous Service Period in relation to the relevant KPI Category and the Earn </w:t>
      </w:r>
      <w:r>
        <w:rPr>
          <w:rFonts w:ascii="Arial" w:eastAsia="Arial" w:hAnsi="Arial" w:cs="Arial"/>
          <w:sz w:val="24"/>
          <w:szCs w:val="24"/>
        </w:rPr>
        <w:t>B</w:t>
      </w:r>
      <w:r>
        <w:rPr>
          <w:rFonts w:ascii="Arial" w:eastAsia="Arial" w:hAnsi="Arial" w:cs="Arial"/>
          <w:color w:val="000000"/>
          <w:sz w:val="24"/>
          <w:szCs w:val="24"/>
        </w:rPr>
        <w:t>ack %.</w:t>
      </w:r>
    </w:p>
    <w:p w14:paraId="61CFA22F" w14:textId="77777777" w:rsidR="003906CD" w:rsidRDefault="00930550">
      <w:pPr>
        <w:numPr>
          <w:ilvl w:val="1"/>
          <w:numId w:val="3"/>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The Supplier shall recover any Earn </w:t>
      </w:r>
      <w:r>
        <w:rPr>
          <w:rFonts w:ascii="Arial" w:eastAsia="Arial" w:hAnsi="Arial" w:cs="Arial"/>
          <w:sz w:val="24"/>
          <w:szCs w:val="24"/>
        </w:rPr>
        <w:t>B</w:t>
      </w:r>
      <w:r>
        <w:rPr>
          <w:rFonts w:ascii="Arial" w:eastAsia="Arial" w:hAnsi="Arial" w:cs="Arial"/>
          <w:color w:val="000000"/>
          <w:sz w:val="24"/>
          <w:szCs w:val="24"/>
        </w:rPr>
        <w:t>ack to which it is entitled under this Paragraph 5 in accordance with Call-Off Schedule 5 (Call-Off Pricing).</w:t>
      </w:r>
    </w:p>
    <w:p w14:paraId="758DCB0C" w14:textId="77777777" w:rsidR="003906CD" w:rsidRDefault="003906CD">
      <w:pPr>
        <w:pBdr>
          <w:top w:val="nil"/>
          <w:left w:val="nil"/>
          <w:bottom w:val="nil"/>
          <w:right w:val="nil"/>
          <w:between w:val="nil"/>
        </w:pBdr>
        <w:tabs>
          <w:tab w:val="left" w:pos="144"/>
        </w:tabs>
        <w:spacing w:after="120" w:line="240" w:lineRule="auto"/>
        <w:ind w:left="1440"/>
        <w:jc w:val="both"/>
        <w:rPr>
          <w:rFonts w:ascii="Arial" w:eastAsia="Arial" w:hAnsi="Arial" w:cs="Arial"/>
          <w:color w:val="000000"/>
          <w:sz w:val="24"/>
          <w:szCs w:val="24"/>
        </w:rPr>
      </w:pPr>
    </w:p>
    <w:p w14:paraId="5BB393BA" w14:textId="77777777" w:rsidR="003906CD" w:rsidRDefault="00930550">
      <w:pPr>
        <w:numPr>
          <w:ilvl w:val="0"/>
          <w:numId w:val="3"/>
        </w:numPr>
        <w:pBdr>
          <w:top w:val="nil"/>
          <w:left w:val="nil"/>
          <w:bottom w:val="nil"/>
          <w:right w:val="nil"/>
          <w:between w:val="nil"/>
        </w:pBdr>
        <w:spacing w:after="240" w:line="240" w:lineRule="auto"/>
        <w:jc w:val="both"/>
        <w:rPr>
          <w:rFonts w:ascii="Arial" w:eastAsia="Arial" w:hAnsi="Arial" w:cs="Arial"/>
          <w:color w:val="000000"/>
        </w:rPr>
      </w:pPr>
      <w:r>
        <w:rPr>
          <w:rFonts w:ascii="Arial" w:eastAsia="Arial" w:hAnsi="Arial" w:cs="Arial"/>
          <w:b/>
          <w:color w:val="000000"/>
          <w:sz w:val="24"/>
          <w:szCs w:val="24"/>
        </w:rPr>
        <w:t>Persistent KPI Failure</w:t>
      </w:r>
    </w:p>
    <w:p w14:paraId="133736E4" w14:textId="77777777" w:rsidR="003906CD" w:rsidRDefault="00930550">
      <w:pPr>
        <w:numPr>
          <w:ilvl w:val="1"/>
          <w:numId w:val="3"/>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 Persistent KPI </w:t>
      </w:r>
      <w:proofErr w:type="gramStart"/>
      <w:r>
        <w:rPr>
          <w:rFonts w:ascii="Arial" w:eastAsia="Arial" w:hAnsi="Arial" w:cs="Arial"/>
          <w:color w:val="000000"/>
          <w:sz w:val="24"/>
          <w:szCs w:val="24"/>
        </w:rPr>
        <w:t>Category  Failure</w:t>
      </w:r>
      <w:proofErr w:type="gramEnd"/>
      <w:r>
        <w:rPr>
          <w:rFonts w:ascii="Arial" w:eastAsia="Arial" w:hAnsi="Arial" w:cs="Arial"/>
          <w:color w:val="000000"/>
          <w:sz w:val="24"/>
          <w:szCs w:val="24"/>
        </w:rPr>
        <w:t xml:space="preserve"> shall arise when one or both of the following takes place:</w:t>
      </w:r>
    </w:p>
    <w:p w14:paraId="48418705" w14:textId="77777777" w:rsidR="003906CD" w:rsidRDefault="00930550">
      <w:pPr>
        <w:numPr>
          <w:ilvl w:val="2"/>
          <w:numId w:val="3"/>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bookmarkStart w:id="15" w:name="_heading=h.3znysh7" w:colFirst="0" w:colLast="0"/>
      <w:bookmarkEnd w:id="15"/>
      <w:r>
        <w:rPr>
          <w:rFonts w:ascii="Arial" w:eastAsia="Arial" w:hAnsi="Arial" w:cs="Arial"/>
          <w:color w:val="000000"/>
          <w:sz w:val="24"/>
          <w:szCs w:val="24"/>
        </w:rPr>
        <w:t>a KPI Category Failure in respect of any one or more of the KPI Categories occurs in five (5) consecutive Service Periods;</w:t>
      </w:r>
    </w:p>
    <w:p w14:paraId="14E59B84" w14:textId="77777777" w:rsidR="003906CD" w:rsidRDefault="00930550">
      <w:pPr>
        <w:numPr>
          <w:ilvl w:val="2"/>
          <w:numId w:val="3"/>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KPI Category Failure in respect of any one or more of the KPI Categories occurs in any seven (7) Service Periods in the immediately preceding twelve (12) Service Periods.</w:t>
      </w:r>
    </w:p>
    <w:p w14:paraId="478BE27B" w14:textId="77777777" w:rsidR="003906CD" w:rsidRDefault="00930550">
      <w:pPr>
        <w:numPr>
          <w:ilvl w:val="1"/>
          <w:numId w:val="3"/>
        </w:numPr>
        <w:pBdr>
          <w:top w:val="nil"/>
          <w:left w:val="nil"/>
          <w:bottom w:val="nil"/>
          <w:right w:val="nil"/>
          <w:between w:val="nil"/>
        </w:pBdr>
        <w:tabs>
          <w:tab w:val="left" w:pos="14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Persistent KPI Failure shall constitute a material Default of this Contract by the Supplier.</w:t>
      </w:r>
    </w:p>
    <w:p w14:paraId="5C7C661E" w14:textId="77777777" w:rsidR="003906CD" w:rsidRDefault="003906CD">
      <w:pPr>
        <w:pBdr>
          <w:top w:val="nil"/>
          <w:left w:val="nil"/>
          <w:bottom w:val="nil"/>
          <w:right w:val="nil"/>
          <w:between w:val="nil"/>
        </w:pBdr>
        <w:spacing w:before="120" w:after="120" w:line="240" w:lineRule="auto"/>
        <w:rPr>
          <w:rFonts w:ascii="Arial" w:eastAsia="Arial" w:hAnsi="Arial" w:cs="Arial"/>
          <w:b/>
          <w:color w:val="000000"/>
          <w:sz w:val="36"/>
          <w:szCs w:val="36"/>
        </w:rPr>
      </w:pPr>
    </w:p>
    <w:p w14:paraId="2B667A25" w14:textId="77777777" w:rsidR="003906CD" w:rsidRDefault="003906CD">
      <w:pPr>
        <w:pBdr>
          <w:top w:val="nil"/>
          <w:left w:val="nil"/>
          <w:bottom w:val="nil"/>
          <w:right w:val="nil"/>
          <w:between w:val="nil"/>
        </w:pBdr>
        <w:spacing w:before="120" w:after="120" w:line="240" w:lineRule="auto"/>
        <w:rPr>
          <w:rFonts w:ascii="Arial" w:eastAsia="Arial" w:hAnsi="Arial" w:cs="Arial"/>
          <w:b/>
          <w:color w:val="000000"/>
          <w:sz w:val="36"/>
          <w:szCs w:val="36"/>
        </w:rPr>
      </w:pPr>
    </w:p>
    <w:p w14:paraId="1568B0D7" w14:textId="77777777" w:rsidR="003906CD" w:rsidRDefault="003906CD">
      <w:pPr>
        <w:pBdr>
          <w:top w:val="nil"/>
          <w:left w:val="nil"/>
          <w:bottom w:val="nil"/>
          <w:right w:val="nil"/>
          <w:between w:val="nil"/>
        </w:pBdr>
        <w:spacing w:before="120" w:after="120" w:line="240" w:lineRule="auto"/>
        <w:rPr>
          <w:rFonts w:ascii="Arial" w:eastAsia="Arial" w:hAnsi="Arial" w:cs="Arial"/>
          <w:b/>
          <w:color w:val="000000"/>
          <w:sz w:val="36"/>
          <w:szCs w:val="36"/>
        </w:rPr>
      </w:pPr>
    </w:p>
    <w:p w14:paraId="6C54E1F3" w14:textId="77777777" w:rsidR="003906CD" w:rsidRDefault="003906CD">
      <w:pPr>
        <w:pBdr>
          <w:top w:val="nil"/>
          <w:left w:val="nil"/>
          <w:bottom w:val="nil"/>
          <w:right w:val="nil"/>
          <w:between w:val="nil"/>
        </w:pBdr>
        <w:spacing w:before="120" w:after="120" w:line="240" w:lineRule="auto"/>
        <w:rPr>
          <w:rFonts w:ascii="Arial" w:eastAsia="Arial" w:hAnsi="Arial" w:cs="Arial"/>
          <w:b/>
          <w:color w:val="000000"/>
          <w:sz w:val="36"/>
          <w:szCs w:val="36"/>
        </w:rPr>
      </w:pPr>
      <w:bookmarkStart w:id="16" w:name="_heading=h.tyjcwt" w:colFirst="0" w:colLast="0"/>
      <w:bookmarkEnd w:id="16"/>
    </w:p>
    <w:p w14:paraId="0F6D09D0" w14:textId="77777777" w:rsidR="003906CD" w:rsidRDefault="00930550">
      <w:pPr>
        <w:pBdr>
          <w:top w:val="nil"/>
          <w:left w:val="nil"/>
          <w:bottom w:val="nil"/>
          <w:right w:val="nil"/>
          <w:between w:val="nil"/>
        </w:pBdr>
        <w:spacing w:before="120" w:after="120" w:line="240" w:lineRule="auto"/>
        <w:rPr>
          <w:rFonts w:ascii="Arial" w:eastAsia="Arial" w:hAnsi="Arial" w:cs="Arial"/>
        </w:rPr>
      </w:pPr>
      <w:r>
        <w:rPr>
          <w:rFonts w:ascii="Arial" w:eastAsia="Arial" w:hAnsi="Arial" w:cs="Arial"/>
          <w:b/>
          <w:color w:val="000000"/>
          <w:sz w:val="36"/>
          <w:szCs w:val="36"/>
        </w:rPr>
        <w:t>Annex A to Part A – KPI_Paymech Model</w:t>
      </w:r>
    </w:p>
    <w:p w14:paraId="651E1EA4" w14:textId="77777777" w:rsidR="003906CD" w:rsidRDefault="003906CD">
      <w:pPr>
        <w:pBdr>
          <w:top w:val="nil"/>
          <w:left w:val="nil"/>
          <w:bottom w:val="nil"/>
          <w:right w:val="nil"/>
          <w:between w:val="nil"/>
        </w:pBdr>
        <w:spacing w:before="120" w:after="120" w:line="240" w:lineRule="auto"/>
        <w:rPr>
          <w:rFonts w:ascii="Arial" w:eastAsia="Arial" w:hAnsi="Arial" w:cs="Arial"/>
        </w:rPr>
      </w:pPr>
    </w:p>
    <w:p w14:paraId="4F8A6E9E" w14:textId="05683269" w:rsidR="003906CD" w:rsidRDefault="007575D9">
      <w:pPr>
        <w:pBdr>
          <w:top w:val="nil"/>
          <w:left w:val="nil"/>
          <w:bottom w:val="nil"/>
          <w:right w:val="nil"/>
          <w:between w:val="nil"/>
        </w:pBdr>
        <w:spacing w:before="120" w:after="120" w:line="240" w:lineRule="auto"/>
        <w:rPr>
          <w:rFonts w:ascii="Arial" w:eastAsia="Arial" w:hAnsi="Arial" w:cs="Arial"/>
        </w:rPr>
      </w:pPr>
      <w:r>
        <w:rPr>
          <w:rFonts w:ascii="Arial" w:eastAsia="Arial" w:hAnsi="Arial" w:cs="Arial"/>
        </w:rPr>
        <w:object w:dxaOrig="1504" w:dyaOrig="982" w14:anchorId="09628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8" o:title=""/>
          </v:shape>
          <o:OLEObject Type="Embed" ProgID="Excel.Sheet.12" ShapeID="_x0000_i1025" DrawAspect="Icon" ObjectID="_1818846162" r:id="rId9"/>
        </w:object>
      </w:r>
    </w:p>
    <w:p w14:paraId="0CC2729A" w14:textId="77777777" w:rsidR="003906CD" w:rsidRDefault="003906CD">
      <w:pPr>
        <w:pBdr>
          <w:top w:val="nil"/>
          <w:left w:val="nil"/>
          <w:bottom w:val="nil"/>
          <w:right w:val="nil"/>
          <w:between w:val="nil"/>
        </w:pBdr>
        <w:spacing w:before="120" w:after="120" w:line="240" w:lineRule="auto"/>
        <w:rPr>
          <w:rFonts w:ascii="Arial" w:eastAsia="Arial" w:hAnsi="Arial" w:cs="Arial"/>
        </w:rPr>
      </w:pPr>
    </w:p>
    <w:p w14:paraId="1AB33133" w14:textId="77777777" w:rsidR="003906CD" w:rsidRDefault="003906CD">
      <w:pPr>
        <w:pBdr>
          <w:top w:val="nil"/>
          <w:left w:val="nil"/>
          <w:bottom w:val="nil"/>
          <w:right w:val="nil"/>
          <w:between w:val="nil"/>
        </w:pBdr>
        <w:spacing w:before="120" w:after="120" w:line="240" w:lineRule="auto"/>
        <w:rPr>
          <w:rFonts w:ascii="Arial" w:eastAsia="Arial" w:hAnsi="Arial" w:cs="Arial"/>
        </w:rPr>
      </w:pPr>
      <w:bookmarkStart w:id="17" w:name="_heading=h.3dy6vkm" w:colFirst="0" w:colLast="0"/>
      <w:bookmarkEnd w:id="17"/>
    </w:p>
    <w:p w14:paraId="67732E4B" w14:textId="77777777" w:rsidR="003906CD" w:rsidRDefault="003906CD">
      <w:pPr>
        <w:keepNext/>
        <w:numPr>
          <w:ilvl w:val="0"/>
          <w:numId w:val="1"/>
        </w:numPr>
        <w:spacing w:after="240" w:line="240" w:lineRule="auto"/>
        <w:ind w:left="0" w:firstLine="0"/>
        <w:rPr>
          <w:rFonts w:ascii="Arial Bold" w:eastAsia="Arial Bold" w:hAnsi="Arial Bold" w:cs="Arial Bold"/>
          <w:b/>
          <w:sz w:val="24"/>
          <w:szCs w:val="24"/>
        </w:rPr>
      </w:pPr>
      <w:bookmarkStart w:id="18" w:name="_heading=h.4d34og8" w:colFirst="0" w:colLast="0"/>
      <w:bookmarkEnd w:id="18"/>
    </w:p>
    <w:p w14:paraId="48C3D900" w14:textId="77777777" w:rsidR="003906CD" w:rsidRDefault="00930550">
      <w:pPr>
        <w:pBdr>
          <w:top w:val="nil"/>
          <w:left w:val="nil"/>
          <w:bottom w:val="nil"/>
          <w:right w:val="nil"/>
          <w:between w:val="nil"/>
        </w:pBdr>
        <w:spacing w:before="100"/>
        <w:rPr>
          <w:b/>
          <w:i/>
          <w:color w:val="000000"/>
        </w:rPr>
      </w:pPr>
      <w:r>
        <w:rPr>
          <w:b/>
          <w:i/>
          <w:highlight w:val="yellow"/>
        </w:rPr>
        <w:t xml:space="preserve">[Buyer Guidance Note: In line with the </w:t>
      </w:r>
      <w:hyperlink r:id="rId10">
        <w:r>
          <w:rPr>
            <w:b/>
            <w:i/>
            <w:color w:val="0000FF"/>
            <w:highlight w:val="yellow"/>
            <w:u w:val="single"/>
          </w:rPr>
          <w:t>Sourcing Playbook</w:t>
        </w:r>
      </w:hyperlink>
      <w:r>
        <w:rPr>
          <w:b/>
          <w:i/>
          <w:highlight w:val="yellow"/>
        </w:rPr>
        <w:t xml:space="preserve">, it is HMG’s intention to publish the top KPIs for the Government’s most important contracts. Where this publication requirement applies to this Contract, the Buyer must select at least three KPIs which shall be publishable and must also select the single most important Social Value KPI, which shall also be publishable (four KPIs in total). </w:t>
      </w:r>
    </w:p>
    <w:p w14:paraId="1C68A21B" w14:textId="77777777" w:rsidR="003906CD" w:rsidRDefault="003906CD">
      <w:pPr>
        <w:ind w:left="709"/>
        <w:rPr>
          <w:rFonts w:ascii="Arial" w:eastAsia="Arial" w:hAnsi="Arial" w:cs="Arial"/>
          <w:sz w:val="24"/>
          <w:szCs w:val="24"/>
        </w:rPr>
      </w:pPr>
    </w:p>
    <w:p w14:paraId="751F95C3" w14:textId="77777777" w:rsidR="003906CD" w:rsidRDefault="003906CD">
      <w:pPr>
        <w:ind w:left="709"/>
        <w:rPr>
          <w:rFonts w:ascii="Arial" w:eastAsia="Arial" w:hAnsi="Arial" w:cs="Arial"/>
          <w:sz w:val="24"/>
          <w:szCs w:val="24"/>
          <w:highlight w:val="green"/>
        </w:rPr>
      </w:pPr>
    </w:p>
    <w:p w14:paraId="57C13D45" w14:textId="77777777" w:rsidR="003906CD" w:rsidRDefault="003906CD">
      <w:pPr>
        <w:ind w:left="709"/>
        <w:rPr>
          <w:rFonts w:ascii="Arial" w:eastAsia="Arial" w:hAnsi="Arial" w:cs="Arial"/>
          <w:sz w:val="24"/>
          <w:szCs w:val="24"/>
          <w:highlight w:val="yellow"/>
        </w:rPr>
      </w:pPr>
    </w:p>
    <w:p w14:paraId="2B585B68" w14:textId="77777777" w:rsidR="003906CD" w:rsidRDefault="003906CD">
      <w:pPr>
        <w:pBdr>
          <w:top w:val="nil"/>
          <w:left w:val="nil"/>
          <w:bottom w:val="nil"/>
          <w:right w:val="nil"/>
          <w:between w:val="nil"/>
        </w:pBdr>
        <w:spacing w:before="120" w:after="120" w:line="240" w:lineRule="auto"/>
        <w:rPr>
          <w:rFonts w:ascii="Arial" w:eastAsia="Arial" w:hAnsi="Arial" w:cs="Arial"/>
        </w:rPr>
      </w:pPr>
    </w:p>
    <w:p w14:paraId="77B7685D" w14:textId="77777777" w:rsidR="003906CD" w:rsidRDefault="003906CD">
      <w:pPr>
        <w:pBdr>
          <w:top w:val="nil"/>
          <w:left w:val="nil"/>
          <w:bottom w:val="nil"/>
          <w:right w:val="nil"/>
          <w:between w:val="nil"/>
        </w:pBdr>
        <w:spacing w:before="120" w:after="120" w:line="240" w:lineRule="auto"/>
        <w:rPr>
          <w:rFonts w:ascii="Arial" w:eastAsia="Arial" w:hAnsi="Arial" w:cs="Arial"/>
        </w:rPr>
      </w:pPr>
    </w:p>
    <w:p w14:paraId="522BB1D8" w14:textId="77777777" w:rsidR="003906CD" w:rsidRDefault="003906CD">
      <w:pPr>
        <w:pBdr>
          <w:top w:val="nil"/>
          <w:left w:val="nil"/>
          <w:bottom w:val="nil"/>
          <w:right w:val="nil"/>
          <w:between w:val="nil"/>
        </w:pBdr>
        <w:spacing w:before="120" w:after="120" w:line="240" w:lineRule="auto"/>
        <w:rPr>
          <w:rFonts w:ascii="Arial" w:eastAsia="Arial" w:hAnsi="Arial" w:cs="Arial"/>
        </w:rPr>
      </w:pPr>
    </w:p>
    <w:p w14:paraId="71528142" w14:textId="77777777" w:rsidR="003906CD" w:rsidRDefault="003906CD">
      <w:pPr>
        <w:pBdr>
          <w:top w:val="nil"/>
          <w:left w:val="nil"/>
          <w:bottom w:val="nil"/>
          <w:right w:val="nil"/>
          <w:between w:val="nil"/>
        </w:pBdr>
        <w:spacing w:before="120" w:after="120" w:line="240" w:lineRule="auto"/>
        <w:rPr>
          <w:rFonts w:ascii="Arial" w:eastAsia="Arial" w:hAnsi="Arial" w:cs="Arial"/>
        </w:rPr>
      </w:pPr>
    </w:p>
    <w:p w14:paraId="0535C05C" w14:textId="77777777" w:rsidR="003906CD" w:rsidRDefault="003906CD">
      <w:pPr>
        <w:pBdr>
          <w:top w:val="nil"/>
          <w:left w:val="nil"/>
          <w:bottom w:val="nil"/>
          <w:right w:val="nil"/>
          <w:between w:val="nil"/>
        </w:pBdr>
        <w:spacing w:before="120" w:after="120" w:line="240" w:lineRule="auto"/>
        <w:rPr>
          <w:rFonts w:ascii="Arial" w:eastAsia="Arial" w:hAnsi="Arial" w:cs="Arial"/>
        </w:rPr>
      </w:pPr>
    </w:p>
    <w:p w14:paraId="7A2134CD" w14:textId="77777777" w:rsidR="003906CD" w:rsidRDefault="003906CD">
      <w:pPr>
        <w:pBdr>
          <w:top w:val="nil"/>
          <w:left w:val="nil"/>
          <w:bottom w:val="nil"/>
          <w:right w:val="nil"/>
          <w:between w:val="nil"/>
        </w:pBdr>
        <w:spacing w:before="120" w:after="120" w:line="240" w:lineRule="auto"/>
        <w:rPr>
          <w:rFonts w:ascii="Arial" w:eastAsia="Arial" w:hAnsi="Arial" w:cs="Arial"/>
        </w:rPr>
      </w:pPr>
    </w:p>
    <w:p w14:paraId="66F3A331" w14:textId="77777777" w:rsidR="003906CD" w:rsidRDefault="00930550">
      <w:pPr>
        <w:pBdr>
          <w:top w:val="nil"/>
          <w:left w:val="nil"/>
          <w:bottom w:val="nil"/>
          <w:right w:val="nil"/>
          <w:between w:val="nil"/>
        </w:pBdr>
        <w:spacing w:before="120" w:after="120" w:line="240" w:lineRule="auto"/>
        <w:rPr>
          <w:rFonts w:ascii="Arial" w:eastAsia="Arial" w:hAnsi="Arial" w:cs="Arial"/>
        </w:rPr>
      </w:pPr>
      <w:r>
        <w:rPr>
          <w:rFonts w:ascii="Arial" w:eastAsia="Arial" w:hAnsi="Arial" w:cs="Arial"/>
          <w:b/>
          <w:color w:val="000000"/>
          <w:sz w:val="36"/>
          <w:szCs w:val="36"/>
        </w:rPr>
        <w:t xml:space="preserve">Part B: Performance Monitoring </w:t>
      </w:r>
    </w:p>
    <w:p w14:paraId="2BC87F6B" w14:textId="77777777" w:rsidR="003906CD" w:rsidRDefault="00930550">
      <w:pPr>
        <w:numPr>
          <w:ilvl w:val="0"/>
          <w:numId w:val="2"/>
        </w:numPr>
        <w:pBdr>
          <w:top w:val="nil"/>
          <w:left w:val="nil"/>
          <w:bottom w:val="nil"/>
          <w:right w:val="nil"/>
          <w:between w:val="nil"/>
        </w:pBdr>
        <w:tabs>
          <w:tab w:val="left" w:pos="142"/>
        </w:tabs>
        <w:spacing w:before="240" w:after="120" w:line="240" w:lineRule="auto"/>
        <w:rPr>
          <w:rFonts w:ascii="Arial" w:eastAsia="Arial" w:hAnsi="Arial" w:cs="Arial"/>
          <w:b/>
          <w:color w:val="000000"/>
          <w:sz w:val="24"/>
          <w:szCs w:val="24"/>
        </w:rPr>
      </w:pPr>
      <w:r>
        <w:rPr>
          <w:rFonts w:ascii="Arial" w:eastAsia="Arial" w:hAnsi="Arial" w:cs="Arial"/>
          <w:b/>
          <w:color w:val="000000"/>
          <w:sz w:val="24"/>
          <w:szCs w:val="24"/>
        </w:rPr>
        <w:t>Performance Monitoring and Performance Review</w:t>
      </w:r>
    </w:p>
    <w:p w14:paraId="45CD05EF" w14:textId="77777777" w:rsidR="003906CD" w:rsidRDefault="00930550">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Within twenty (20) Working Days of the Start Date the Supplier shall provide the Buyer with details of how the process in respect of the monitoring and reporting of KPI Performance Measures and KPI Categories will operate between the Parties and the Parties will endeavour to agree such process as soon as reasonably possible.</w:t>
      </w:r>
    </w:p>
    <w:p w14:paraId="65698866" w14:textId="77777777" w:rsidR="003906CD" w:rsidRDefault="00930550">
      <w:pPr>
        <w:keepNext/>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the Buyer with performance monitoring reports in the same format as that in the KPI Paymech Model ("</w:t>
      </w:r>
      <w:r>
        <w:rPr>
          <w:rFonts w:ascii="Arial" w:eastAsia="Arial" w:hAnsi="Arial" w:cs="Arial"/>
          <w:b/>
          <w:color w:val="000000"/>
          <w:sz w:val="24"/>
          <w:szCs w:val="24"/>
        </w:rPr>
        <w:t>Performance Monitoring Reports</w:t>
      </w:r>
      <w:r>
        <w:rPr>
          <w:rFonts w:ascii="Arial" w:eastAsia="Arial" w:hAnsi="Arial" w:cs="Arial"/>
          <w:color w:val="000000"/>
          <w:sz w:val="24"/>
          <w:szCs w:val="24"/>
        </w:rPr>
        <w:t xml:space="preserve">") in accordance with the process and timescales agreed pursuant to paragraph </w:t>
      </w:r>
      <w:r>
        <w:rPr>
          <w:rFonts w:ascii="Arial" w:eastAsia="Arial" w:hAnsi="Arial" w:cs="Arial"/>
          <w:sz w:val="24"/>
          <w:szCs w:val="24"/>
        </w:rPr>
        <w:t>1</w:t>
      </w:r>
      <w:r>
        <w:rPr>
          <w:rFonts w:ascii="Arial" w:eastAsia="Arial" w:hAnsi="Arial" w:cs="Arial"/>
          <w:color w:val="000000"/>
          <w:sz w:val="24"/>
          <w:szCs w:val="24"/>
        </w:rPr>
        <w:t>.1 of Part B of this Schedule which shall contain, as a minimum, the following information in respect of the relevant Service Period just ended:</w:t>
      </w:r>
    </w:p>
    <w:p w14:paraId="1CA2A472" w14:textId="77777777" w:rsidR="003906CD" w:rsidRDefault="00930550">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for each KPI Performance Measure and each KPI Category, the Score Threshold </w:t>
      </w:r>
      <w:proofErr w:type="gramStart"/>
      <w:r>
        <w:rPr>
          <w:rFonts w:ascii="Arial" w:eastAsia="Arial" w:hAnsi="Arial" w:cs="Arial"/>
          <w:color w:val="000000"/>
          <w:sz w:val="24"/>
          <w:szCs w:val="24"/>
        </w:rPr>
        <w:t>achieved  for</w:t>
      </w:r>
      <w:proofErr w:type="gramEnd"/>
      <w:r>
        <w:rPr>
          <w:rFonts w:ascii="Arial" w:eastAsia="Arial" w:hAnsi="Arial" w:cs="Arial"/>
          <w:color w:val="000000"/>
          <w:sz w:val="24"/>
          <w:szCs w:val="24"/>
        </w:rPr>
        <w:t xml:space="preserve"> the relevant Service Period;</w:t>
      </w:r>
    </w:p>
    <w:p w14:paraId="268B78C4" w14:textId="77777777" w:rsidR="003906CD" w:rsidRDefault="00930550">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summary of all failures to achieve KPI Performance Measures and KPI Category Failures, that occurred during that Service Period;</w:t>
      </w:r>
    </w:p>
    <w:p w14:paraId="4FA4B864" w14:textId="77777777" w:rsidR="003906CD" w:rsidRDefault="00930550">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details of any Persistent KPI Failures;</w:t>
      </w:r>
    </w:p>
    <w:p w14:paraId="7D42AF36" w14:textId="77777777" w:rsidR="003906CD" w:rsidRDefault="00930550">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any Persistent failures, actions taken to resolve the underlying cause and prevent recurrence;</w:t>
      </w:r>
    </w:p>
    <w:p w14:paraId="0248B77D" w14:textId="77777777" w:rsidR="003906CD" w:rsidRDefault="00930550">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KPI Credits to be applied in respect of the relevant Service Period indicating the KPI Category Failures and the KPI Performance Measures to which the KPI Credits relate; and</w:t>
      </w:r>
    </w:p>
    <w:p w14:paraId="3AB3D61B" w14:textId="77777777" w:rsidR="003906CD" w:rsidRDefault="00930550">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other details as the Buyer may reasonably require from time to time.</w:t>
      </w:r>
    </w:p>
    <w:p w14:paraId="20299D49" w14:textId="77777777" w:rsidR="003906CD" w:rsidRDefault="00930550">
      <w:pPr>
        <w:keepNext/>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Parties shall attend meetings to discuss Performance Monitoring Reports ("</w:t>
      </w:r>
      <w:r>
        <w:rPr>
          <w:rFonts w:ascii="Arial" w:eastAsia="Arial" w:hAnsi="Arial" w:cs="Arial"/>
          <w:b/>
          <w:color w:val="000000"/>
          <w:sz w:val="24"/>
          <w:szCs w:val="24"/>
        </w:rPr>
        <w:t>Performance Review Meetings</w:t>
      </w:r>
      <w:r>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p>
    <w:p w14:paraId="7783AAF8" w14:textId="77777777" w:rsidR="003906CD" w:rsidRDefault="00930550">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take place within one (1) week of the Performance Monitoring Reports being issued by the Supplier at such location and time (within normal business hours) as the Buyer shall reasonably require;</w:t>
      </w:r>
    </w:p>
    <w:p w14:paraId="1142E7CE" w14:textId="77777777" w:rsidR="003906CD" w:rsidRDefault="00930550">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be attended by the Supplier's Representative and the Buyer’s Representative; and</w:t>
      </w:r>
    </w:p>
    <w:p w14:paraId="4EC3791D" w14:textId="77777777" w:rsidR="003906CD" w:rsidRDefault="00930550">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be fully minuted by the Supplier and the minutes will be circulated by the Supplier to all attendees at the relevant meeting and also to the Buyer’s Representative and any other recipients agreed at the relevant meeting.  </w:t>
      </w:r>
    </w:p>
    <w:p w14:paraId="3C0A3EFA" w14:textId="77777777" w:rsidR="003906CD" w:rsidRDefault="00930550">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minutes of the preceding Month's Performance Review Meeting will be agreed and signed by both the Supplier's Representative and the Buyer’s Representative at each meeting.</w:t>
      </w:r>
    </w:p>
    <w:p w14:paraId="701ED6CE" w14:textId="77777777" w:rsidR="003906CD" w:rsidRDefault="00930550">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to the Buyer such documentation as the Buyer may reasonably require in order to verify the level of the performance by the Supplier and the calculations of the amount of KPI Credits for any specified Service Period.</w:t>
      </w:r>
    </w:p>
    <w:p w14:paraId="6A23A2CE" w14:textId="77777777" w:rsidR="003906CD" w:rsidRDefault="003906CD">
      <w:pPr>
        <w:pBdr>
          <w:top w:val="nil"/>
          <w:left w:val="nil"/>
          <w:bottom w:val="nil"/>
          <w:right w:val="nil"/>
          <w:between w:val="nil"/>
        </w:pBdr>
        <w:spacing w:before="120" w:after="120" w:line="240" w:lineRule="auto"/>
        <w:ind w:left="1440" w:hanging="576"/>
        <w:rPr>
          <w:rFonts w:ascii="Arial" w:eastAsia="Arial" w:hAnsi="Arial" w:cs="Arial"/>
          <w:color w:val="000000"/>
          <w:sz w:val="24"/>
          <w:szCs w:val="24"/>
        </w:rPr>
      </w:pPr>
    </w:p>
    <w:p w14:paraId="7429B058" w14:textId="77777777" w:rsidR="003906CD" w:rsidRDefault="00930550">
      <w:pPr>
        <w:numPr>
          <w:ilvl w:val="0"/>
          <w:numId w:val="2"/>
        </w:numPr>
        <w:pBdr>
          <w:top w:val="nil"/>
          <w:left w:val="nil"/>
          <w:bottom w:val="nil"/>
          <w:right w:val="nil"/>
          <w:between w:val="nil"/>
        </w:pBdr>
        <w:tabs>
          <w:tab w:val="left" w:pos="142"/>
        </w:tabs>
        <w:spacing w:before="240" w:after="120" w:line="240" w:lineRule="auto"/>
        <w:rPr>
          <w:rFonts w:ascii="Arial" w:eastAsia="Arial" w:hAnsi="Arial" w:cs="Arial"/>
          <w:b/>
          <w:color w:val="000000"/>
          <w:sz w:val="24"/>
          <w:szCs w:val="24"/>
        </w:rPr>
      </w:pPr>
      <w:r>
        <w:rPr>
          <w:rFonts w:ascii="Arial" w:eastAsia="Arial" w:hAnsi="Arial" w:cs="Arial"/>
          <w:b/>
          <w:color w:val="000000"/>
          <w:sz w:val="24"/>
          <w:szCs w:val="24"/>
        </w:rPr>
        <w:t>Satisfaction Surveys</w:t>
      </w:r>
    </w:p>
    <w:p w14:paraId="7E5F154E" w14:textId="77777777" w:rsidR="003906CD" w:rsidRDefault="00930550">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Buyer may undertake satisfaction surveys in respect of the Supplier's provision of the Deliverables. The Buyer shall be entitled to notify the Supplier of any aspects of their performance of the provision of the Deliverables which the responses to the </w:t>
      </w:r>
      <w:r>
        <w:rPr>
          <w:rFonts w:ascii="Arial" w:eastAsia="Arial" w:hAnsi="Arial" w:cs="Arial"/>
          <w:sz w:val="24"/>
          <w:szCs w:val="24"/>
        </w:rPr>
        <w:t>s</w:t>
      </w:r>
      <w:r>
        <w:rPr>
          <w:rFonts w:ascii="Arial" w:eastAsia="Arial" w:hAnsi="Arial" w:cs="Arial"/>
          <w:color w:val="000000"/>
          <w:sz w:val="24"/>
          <w:szCs w:val="24"/>
        </w:rPr>
        <w:t xml:space="preserve">atisfaction </w:t>
      </w:r>
      <w:r>
        <w:rPr>
          <w:rFonts w:ascii="Arial" w:eastAsia="Arial" w:hAnsi="Arial" w:cs="Arial"/>
          <w:sz w:val="24"/>
          <w:szCs w:val="24"/>
        </w:rPr>
        <w:t>s</w:t>
      </w:r>
      <w:r>
        <w:rPr>
          <w:rFonts w:ascii="Arial" w:eastAsia="Arial" w:hAnsi="Arial" w:cs="Arial"/>
          <w:color w:val="000000"/>
          <w:sz w:val="24"/>
          <w:szCs w:val="24"/>
        </w:rPr>
        <w:t>urveys reasonably suggest are not in accordance with this Contract.</w:t>
      </w:r>
    </w:p>
    <w:p w14:paraId="20C13C90" w14:textId="77777777" w:rsidR="003906CD" w:rsidRDefault="003906CD">
      <w:pPr>
        <w:pBdr>
          <w:top w:val="nil"/>
          <w:left w:val="nil"/>
          <w:bottom w:val="nil"/>
          <w:right w:val="nil"/>
          <w:between w:val="nil"/>
        </w:pBdr>
        <w:spacing w:before="120" w:after="120" w:line="240" w:lineRule="auto"/>
        <w:ind w:left="936" w:hanging="576"/>
        <w:jc w:val="both"/>
        <w:rPr>
          <w:rFonts w:ascii="Arial" w:eastAsia="Arial" w:hAnsi="Arial" w:cs="Arial"/>
          <w:color w:val="000000"/>
          <w:sz w:val="24"/>
          <w:szCs w:val="24"/>
        </w:rPr>
      </w:pPr>
      <w:bookmarkStart w:id="19" w:name="_heading=h.30j0zll" w:colFirst="0" w:colLast="0"/>
      <w:bookmarkEnd w:id="19"/>
    </w:p>
    <w:sectPr w:rsidR="003906C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BF3FA" w14:textId="77777777" w:rsidR="003D57CB" w:rsidRDefault="003D57CB">
      <w:pPr>
        <w:spacing w:after="0" w:line="240" w:lineRule="auto"/>
      </w:pPr>
      <w:r>
        <w:separator/>
      </w:r>
    </w:p>
  </w:endnote>
  <w:endnote w:type="continuationSeparator" w:id="0">
    <w:p w14:paraId="3631C6F7" w14:textId="77777777" w:rsidR="003D57CB" w:rsidRDefault="003D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6834" w14:textId="77777777" w:rsidR="003906CD" w:rsidRDefault="003906C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EE904" w14:textId="77777777" w:rsidR="003906CD" w:rsidRDefault="003906CD">
    <w:pPr>
      <w:tabs>
        <w:tab w:val="center" w:pos="4513"/>
        <w:tab w:val="right" w:pos="9026"/>
      </w:tabs>
      <w:spacing w:after="0" w:line="240" w:lineRule="auto"/>
      <w:jc w:val="both"/>
    </w:pPr>
  </w:p>
  <w:p w14:paraId="20FE25DB" w14:textId="77777777" w:rsidR="003906CD" w:rsidRDefault="0093055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RM6331</w:t>
    </w:r>
    <w:r>
      <w:t xml:space="preserve">     </w:t>
    </w:r>
  </w:p>
  <w:p w14:paraId="50FF0F82" w14:textId="77777777" w:rsidR="003906CD" w:rsidRDefault="0093055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w:t>
    </w:r>
    <w:r>
      <w:rPr>
        <w:rFonts w:ascii="Arial" w:eastAsia="Arial" w:hAnsi="Arial" w:cs="Arial"/>
        <w:sz w:val="20"/>
        <w:szCs w:val="20"/>
      </w:rPr>
      <w:t>1</w:t>
    </w:r>
    <w:r>
      <w:rPr>
        <w:rFonts w:ascii="Arial" w:eastAsia="Arial" w:hAnsi="Arial" w:cs="Arial"/>
        <w:color w:val="000000"/>
        <w:sz w:val="20"/>
        <w:szCs w:val="20"/>
      </w:rPr>
      <w:t>.0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6622A">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6402DCF8" w14:textId="77777777" w:rsidR="003906CD" w:rsidRDefault="0093055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3387" w14:textId="77777777" w:rsidR="003906CD" w:rsidRDefault="003906CD">
    <w:pPr>
      <w:tabs>
        <w:tab w:val="center" w:pos="4513"/>
        <w:tab w:val="right" w:pos="9026"/>
      </w:tabs>
      <w:spacing w:after="0" w:line="240" w:lineRule="auto"/>
      <w:jc w:val="both"/>
    </w:pPr>
  </w:p>
  <w:p w14:paraId="32DC93A4" w14:textId="77777777" w:rsidR="003906CD" w:rsidRDefault="0093055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r>
      <w:rPr>
        <w:rFonts w:ascii="Arial" w:eastAsia="Arial" w:hAnsi="Arial" w:cs="Arial"/>
        <w:color w:val="000000"/>
        <w:sz w:val="20"/>
        <w:szCs w:val="20"/>
      </w:rPr>
      <w:tab/>
      <w:t xml:space="preserve">                                           </w:t>
    </w:r>
  </w:p>
  <w:p w14:paraId="5318CD00" w14:textId="77777777" w:rsidR="003906CD" w:rsidRDefault="0093055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797D4B58" w14:textId="77777777" w:rsidR="003906CD" w:rsidRDefault="00930550">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Model Version: v2.9</w:t>
    </w:r>
    <w:r>
      <w:rPr>
        <w:rFonts w:ascii="Arial" w:eastAsia="Arial" w:hAnsi="Arial" w:cs="Arial"/>
        <w:color w:val="000000"/>
        <w:sz w:val="20"/>
        <w:szCs w:val="20"/>
      </w:rPr>
      <w:tab/>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00DC4" w14:textId="77777777" w:rsidR="003D57CB" w:rsidRDefault="003D57CB">
      <w:pPr>
        <w:spacing w:after="0" w:line="240" w:lineRule="auto"/>
      </w:pPr>
      <w:r>
        <w:separator/>
      </w:r>
    </w:p>
  </w:footnote>
  <w:footnote w:type="continuationSeparator" w:id="0">
    <w:p w14:paraId="0140F4ED" w14:textId="77777777" w:rsidR="003D57CB" w:rsidRDefault="003D5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C7E9E" w14:textId="77777777" w:rsidR="003906CD" w:rsidRDefault="003906C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FE03C" w14:textId="77777777" w:rsidR="003906CD" w:rsidRDefault="0093055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14 (</w:t>
    </w:r>
    <w:r>
      <w:rPr>
        <w:rFonts w:ascii="Arial" w:eastAsia="Arial" w:hAnsi="Arial" w:cs="Arial"/>
        <w:b/>
        <w:sz w:val="20"/>
        <w:szCs w:val="20"/>
      </w:rPr>
      <w:t>Key Performance Indicators</w:t>
    </w:r>
    <w:r>
      <w:rPr>
        <w:rFonts w:ascii="Arial" w:eastAsia="Arial" w:hAnsi="Arial" w:cs="Arial"/>
        <w:b/>
        <w:color w:val="000000"/>
        <w:sz w:val="20"/>
        <w:szCs w:val="20"/>
      </w:rPr>
      <w:t>)</w:t>
    </w:r>
  </w:p>
  <w:p w14:paraId="6A9A3888" w14:textId="77777777" w:rsidR="003906CD" w:rsidRDefault="0093055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p>
  <w:p w14:paraId="3977B856" w14:textId="77777777" w:rsidR="003906CD" w:rsidRDefault="0093055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Pr>
        <w:rFonts w:ascii="Arial" w:eastAsia="Arial" w:hAnsi="Arial" w:cs="Arial"/>
        <w:sz w:val="20"/>
        <w:szCs w:val="20"/>
      </w:rPr>
      <w:t>23</w:t>
    </w:r>
  </w:p>
  <w:p w14:paraId="40E7898B" w14:textId="77777777" w:rsidR="003906CD" w:rsidRDefault="003906CD">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496B8" w14:textId="77777777" w:rsidR="003906CD" w:rsidRDefault="003906C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08B0"/>
    <w:multiLevelType w:val="multilevel"/>
    <w:tmpl w:val="E6060B78"/>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AA16CC6"/>
    <w:multiLevelType w:val="multilevel"/>
    <w:tmpl w:val="48E85608"/>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E0A5983"/>
    <w:multiLevelType w:val="multilevel"/>
    <w:tmpl w:val="846C8170"/>
    <w:lvl w:ilvl="0">
      <w:start w:val="1"/>
      <w:numFmt w:val="decimal"/>
      <w:pStyle w:val="GPsDefinition"/>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pStyle w:val="GPSDefinitionL2"/>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DefinitionL4"/>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7E1F3E25"/>
    <w:multiLevelType w:val="multilevel"/>
    <w:tmpl w:val="A59283F2"/>
    <w:lvl w:ilvl="0">
      <w:start w:val="1"/>
      <w:numFmt w:val="decimal"/>
      <w:pStyle w:val="GPSL1CLAUSEHEADING"/>
      <w:lvlText w:val="%1"/>
      <w:lvlJc w:val="left"/>
      <w:pPr>
        <w:ind w:left="170" w:hanging="170"/>
      </w:pPr>
      <w:rPr>
        <w:rFonts w:ascii="Arial" w:eastAsia="Arial" w:hAnsi="Arial" w:cs="Arial"/>
        <w:sz w:val="22"/>
        <w:szCs w:val="22"/>
      </w:rPr>
    </w:lvl>
    <w:lvl w:ilvl="1">
      <w:start w:val="1"/>
      <w:numFmt w:val="lowerLetter"/>
      <w:pStyle w:val="GPSL2NumberedBoldHeading"/>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pStyle w:val="GPSL3numberedclause"/>
      <w:lvlText w:val="%3)"/>
      <w:lvlJc w:val="left"/>
      <w:pPr>
        <w:ind w:left="1080" w:hanging="360"/>
      </w:pPr>
      <w:rPr>
        <w:rFonts w:ascii="Arial" w:eastAsia="Arial" w:hAnsi="Arial" w:cs="Arial"/>
        <w:sz w:val="22"/>
        <w:szCs w:val="22"/>
      </w:rPr>
    </w:lvl>
    <w:lvl w:ilvl="3">
      <w:start w:val="1"/>
      <w:numFmt w:val="decimal"/>
      <w:pStyle w:val="GPSL4numberedclause"/>
      <w:lvlText w:val="(%4)"/>
      <w:lvlJc w:val="left"/>
      <w:pPr>
        <w:ind w:left="1440" w:hanging="360"/>
      </w:pPr>
    </w:lvl>
    <w:lvl w:ilvl="4">
      <w:start w:val="1"/>
      <w:numFmt w:val="lowerLetter"/>
      <w:pStyle w:val="GPSL5numberedclause"/>
      <w:lvlText w:val="(%5)"/>
      <w:lvlJc w:val="left"/>
      <w:pPr>
        <w:ind w:left="1800" w:hanging="360"/>
      </w:pPr>
    </w:lvl>
    <w:lvl w:ilvl="5">
      <w:start w:val="1"/>
      <w:numFmt w:val="lowerRoman"/>
      <w:pStyle w:val="GPSL6numbered"/>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F831292"/>
    <w:multiLevelType w:val="multilevel"/>
    <w:tmpl w:val="631CB602"/>
    <w:lvl w:ilvl="0">
      <w:start w:val="1"/>
      <w:numFmt w:val="decimal"/>
      <w:pStyle w:val="BodyTextIndent"/>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6CD"/>
    <w:rsid w:val="000B57AC"/>
    <w:rsid w:val="003906CD"/>
    <w:rsid w:val="003D57CB"/>
    <w:rsid w:val="00753973"/>
    <w:rsid w:val="007575D9"/>
    <w:rsid w:val="008F4CAF"/>
    <w:rsid w:val="00916D7D"/>
    <w:rsid w:val="00930550"/>
    <w:rsid w:val="00AC3A1C"/>
    <w:rsid w:val="00DA0ACC"/>
    <w:rsid w:val="00F66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241B"/>
  <w15:docId w15:val="{81DD1A38-B271-4F8E-9B04-0E99CAE1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ind w:left="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993600"/>
    <w:pPr>
      <w:spacing w:before="100" w:beforeAutospacing="1" w:after="100" w:afterAutospacing="1" w:line="240" w:lineRule="auto"/>
    </w:pPr>
    <w:rPr>
      <w:rFonts w:ascii="Times New Roman" w:eastAsia="Times New Roman" w:hAnsi="Times New Roman"/>
      <w:sz w:val="24"/>
      <w:szCs w:val="24"/>
    </w:rPr>
  </w:style>
  <w:style w:type="table" w:customStyle="1" w:styleId="afb">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b">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c">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d">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e">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f">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f0">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4">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5">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6">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7">
    <w:basedOn w:val="TableNormal"/>
    <w:pPr>
      <w:spacing w:after="0" w:line="240" w:lineRule="auto"/>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the-sourcing-and-consultancy-playbooks" TargetMode="Externa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dhAJN41q84sA41pzvmQuAQAmA==">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2008</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Mark Box</cp:lastModifiedBy>
  <cp:revision>2</cp:revision>
  <dcterms:created xsi:type="dcterms:W3CDTF">2025-09-08T13:16:00Z</dcterms:created>
  <dcterms:modified xsi:type="dcterms:W3CDTF">2025-09-08T13:16:00Z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