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9789D" w:rsidRDefault="0049789D">
      <w:pPr>
        <w:pBdr>
          <w:top w:val="nil"/>
          <w:left w:val="nil"/>
          <w:bottom w:val="nil"/>
          <w:right w:val="nil"/>
          <w:between w:val="nil"/>
        </w:pBdr>
        <w:tabs>
          <w:tab w:val="center" w:pos="4513"/>
          <w:tab w:val="right" w:pos="9026"/>
        </w:tabs>
        <w:spacing w:after="0"/>
        <w:jc w:val="left"/>
        <w:rPr>
          <w:rFonts w:ascii="Arial" w:eastAsia="Arial" w:hAnsi="Arial" w:cs="Arial"/>
          <w:b/>
          <w:smallCaps/>
          <w:color w:val="000000"/>
          <w:sz w:val="24"/>
          <w:szCs w:val="24"/>
        </w:rPr>
      </w:pPr>
      <w:bookmarkStart w:id="0" w:name="_gjdgxs" w:colFirst="0" w:colLast="0"/>
      <w:bookmarkStart w:id="1" w:name="_GoBack"/>
      <w:bookmarkEnd w:id="0"/>
      <w:bookmarkEnd w:id="1"/>
    </w:p>
    <w:p w14:paraId="00000002" w14:textId="0884D91D" w:rsidR="0049789D" w:rsidRDefault="00E6201C">
      <w:pPr>
        <w:pBdr>
          <w:top w:val="nil"/>
          <w:left w:val="nil"/>
          <w:bottom w:val="nil"/>
          <w:right w:val="nil"/>
          <w:between w:val="nil"/>
        </w:pBdr>
        <w:tabs>
          <w:tab w:val="center" w:pos="4513"/>
          <w:tab w:val="right" w:pos="9026"/>
        </w:tabs>
        <w:spacing w:after="0"/>
        <w:jc w:val="left"/>
        <w:rPr>
          <w:rFonts w:ascii="Arial" w:eastAsia="Arial" w:hAnsi="Arial" w:cs="Arial"/>
          <w:b/>
          <w:color w:val="000000"/>
          <w:sz w:val="36"/>
          <w:szCs w:val="36"/>
        </w:rPr>
      </w:pPr>
      <w:r>
        <w:rPr>
          <w:rFonts w:ascii="Arial" w:eastAsia="Arial" w:hAnsi="Arial" w:cs="Arial"/>
          <w:b/>
          <w:color w:val="000000"/>
          <w:sz w:val="36"/>
          <w:szCs w:val="36"/>
        </w:rPr>
        <w:t>Call-Off Schedule</w:t>
      </w:r>
      <w:r>
        <w:rPr>
          <w:rFonts w:ascii="Arial" w:eastAsia="Arial" w:hAnsi="Arial" w:cs="Arial"/>
          <w:b/>
          <w:color w:val="000000"/>
          <w:sz w:val="36"/>
          <w:szCs w:val="36"/>
          <w:highlight w:val="white"/>
        </w:rPr>
        <w:t xml:space="preserve"> </w:t>
      </w:r>
      <w:r>
        <w:rPr>
          <w:rFonts w:ascii="Arial" w:eastAsia="Arial" w:hAnsi="Arial" w:cs="Arial"/>
          <w:b/>
          <w:sz w:val="36"/>
          <w:szCs w:val="36"/>
          <w:highlight w:val="white"/>
        </w:rPr>
        <w:t>27</w:t>
      </w:r>
      <w:r>
        <w:rPr>
          <w:rFonts w:ascii="Arial" w:eastAsia="Arial" w:hAnsi="Arial" w:cs="Arial"/>
          <w:b/>
          <w:color w:val="000000"/>
          <w:sz w:val="36"/>
          <w:szCs w:val="36"/>
          <w:highlight w:val="white"/>
        </w:rPr>
        <w:t xml:space="preserve"> </w:t>
      </w:r>
      <w:r>
        <w:rPr>
          <w:rFonts w:ascii="Arial" w:eastAsia="Arial" w:hAnsi="Arial" w:cs="Arial"/>
          <w:b/>
          <w:color w:val="000000"/>
          <w:sz w:val="36"/>
          <w:szCs w:val="36"/>
        </w:rPr>
        <w:t xml:space="preserve">(Accessed Contracts) </w:t>
      </w:r>
    </w:p>
    <w:p w14:paraId="00000003" w14:textId="77777777" w:rsidR="0049789D" w:rsidRDefault="0049789D">
      <w:pPr>
        <w:pBdr>
          <w:top w:val="nil"/>
          <w:left w:val="nil"/>
          <w:bottom w:val="nil"/>
          <w:right w:val="nil"/>
          <w:between w:val="nil"/>
        </w:pBdr>
        <w:tabs>
          <w:tab w:val="center" w:pos="4513"/>
          <w:tab w:val="right" w:pos="9026"/>
        </w:tabs>
        <w:spacing w:after="0"/>
        <w:jc w:val="left"/>
        <w:rPr>
          <w:rFonts w:ascii="Arial" w:eastAsia="Arial" w:hAnsi="Arial" w:cs="Arial"/>
          <w:b/>
          <w:smallCaps/>
          <w:color w:val="000000"/>
          <w:sz w:val="24"/>
          <w:szCs w:val="24"/>
        </w:rPr>
      </w:pPr>
    </w:p>
    <w:p w14:paraId="00000004" w14:textId="77777777" w:rsidR="0049789D" w:rsidRDefault="00E6201C">
      <w:pPr>
        <w:numPr>
          <w:ilvl w:val="0"/>
          <w:numId w:val="1"/>
        </w:numPr>
        <w:pBdr>
          <w:top w:val="nil"/>
          <w:left w:val="nil"/>
          <w:bottom w:val="nil"/>
          <w:right w:val="nil"/>
          <w:between w:val="nil"/>
        </w:pBdr>
        <w:tabs>
          <w:tab w:val="left" w:pos="175"/>
        </w:tabs>
        <w:spacing w:after="120"/>
        <w:rPr>
          <w:rFonts w:ascii="Arial" w:eastAsia="Arial" w:hAnsi="Arial" w:cs="Arial"/>
          <w:b/>
          <w:color w:val="000000"/>
          <w:sz w:val="24"/>
          <w:szCs w:val="24"/>
        </w:rPr>
      </w:pPr>
      <w:bookmarkStart w:id="2" w:name="_3dy6vkm" w:colFirst="0" w:colLast="0"/>
      <w:bookmarkEnd w:id="2"/>
      <w:r>
        <w:rPr>
          <w:rFonts w:ascii="Arial" w:eastAsia="Arial" w:hAnsi="Arial" w:cs="Arial"/>
          <w:b/>
          <w:color w:val="000000"/>
          <w:sz w:val="24"/>
          <w:szCs w:val="24"/>
        </w:rPr>
        <w:t xml:space="preserve">Accessed </w:t>
      </w:r>
      <w:r>
        <w:rPr>
          <w:rFonts w:ascii="Arial" w:eastAsia="Arial" w:hAnsi="Arial" w:cs="Arial"/>
          <w:b/>
          <w:sz w:val="24"/>
          <w:szCs w:val="24"/>
        </w:rPr>
        <w:t>c</w:t>
      </w:r>
      <w:r>
        <w:rPr>
          <w:rFonts w:ascii="Arial" w:eastAsia="Arial" w:hAnsi="Arial" w:cs="Arial"/>
          <w:b/>
          <w:color w:val="000000"/>
          <w:sz w:val="24"/>
          <w:szCs w:val="24"/>
        </w:rPr>
        <w:t>ontracts</w:t>
      </w:r>
    </w:p>
    <w:p w14:paraId="00000005"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The Supplier acknowledges that the Buyer may from time to time notify the Supplier of contracts ("</w:t>
      </w:r>
      <w:r>
        <w:rPr>
          <w:rFonts w:ascii="Arial" w:eastAsia="Arial" w:hAnsi="Arial" w:cs="Arial"/>
          <w:b/>
          <w:color w:val="000000"/>
          <w:sz w:val="24"/>
          <w:szCs w:val="24"/>
        </w:rPr>
        <w:t>Government Frameworks</w:t>
      </w:r>
      <w:r>
        <w:rPr>
          <w:rFonts w:ascii="Arial" w:eastAsia="Arial" w:hAnsi="Arial" w:cs="Arial"/>
          <w:color w:val="000000"/>
          <w:sz w:val="24"/>
          <w:szCs w:val="24"/>
        </w:rPr>
        <w:t>") which are available to the Buyer and which the Buyer can grant access to the Supplier to use or which the Supplier shall use in connection with the supply of the Deliverables.  </w:t>
      </w:r>
    </w:p>
    <w:p w14:paraId="00000006"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The Supplier will consider the use of the Government Frameworks as part of its provision of the Deliverables and will prior to the Start Date and at reasonable intervals thereafter liaise with the Buyer to agree which Government Frameworks it will actually use in connection with the supply of the Deliverables.</w:t>
      </w:r>
    </w:p>
    <w:p w14:paraId="00000007"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Where the Buyer and the Supplier agree on the use by the Supplier of a Government Framework then the Buyer shall endeavour to facilitate such use by the Supplier.  Any such use by the Supplier shall be as agent on behalf of the Buyer. </w:t>
      </w:r>
    </w:p>
    <w:p w14:paraId="00000008"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The Supplier shall ensure that all benefits (including volume rebates and enhanced discounts) gained through or in connection with use of a Government Framework shall be passed on for the benefit of the Buyer.</w:t>
      </w:r>
    </w:p>
    <w:p w14:paraId="00000009"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Where the Supplier intends to use a Government Framework the Supplier shall:</w:t>
      </w:r>
    </w:p>
    <w:p w14:paraId="0000000A" w14:textId="77777777" w:rsidR="0049789D" w:rsidRDefault="00E6201C">
      <w:pPr>
        <w:numPr>
          <w:ilvl w:val="2"/>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act in accordance with such procedures, rules and guidance as the Buyer may from time to time notify the Supplier;</w:t>
      </w:r>
    </w:p>
    <w:p w14:paraId="0000000B" w14:textId="77777777" w:rsidR="0049789D" w:rsidRDefault="00E6201C">
      <w:pPr>
        <w:numPr>
          <w:ilvl w:val="2"/>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with the prior written agreement of the Buyer, directly award a contract to a supplier under the Government Framework or run a further competition to obtain the most economically advantageous offer; and</w:t>
      </w:r>
    </w:p>
    <w:p w14:paraId="0000000C" w14:textId="77777777" w:rsidR="0049789D" w:rsidRDefault="00E6201C">
      <w:pPr>
        <w:numPr>
          <w:ilvl w:val="2"/>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manage all contracts it enters into pursuant to Paragraph 1.5.2 as agent on behalf of the Buyer, and the Supplier's obligations and responsibilities in this regard shall be to:</w:t>
      </w:r>
    </w:p>
    <w:p w14:paraId="0000000D"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not terminate or otherwise amend the terms of the Accessed Contract or enter into any new or replacement agreements in addition to or in substitution for the Accessed Contract without obtaining the prior written consent of the Buyer;</w:t>
      </w:r>
    </w:p>
    <w:p w14:paraId="0000000E"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advise the Buyer of the steps to be taken to avoid or mitigate any event which may adversely affect the performance of Accessed Contracts and where required by the Buyer the Supplier shall take such steps;</w:t>
      </w:r>
    </w:p>
    <w:p w14:paraId="0000000F"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provide to the Buyer such other information as the Buyer may from time to time reasonably require in relation to the performance by the parties pursuant to an Accessed Contract; and</w:t>
      </w:r>
    </w:p>
    <w:p w14:paraId="00000010"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 xml:space="preserve">notify the Buyer of any changes to the prices charged under the Accessed Contract.  For the avoidance of doubt, the </w:t>
      </w:r>
      <w:r>
        <w:rPr>
          <w:rFonts w:ascii="Arial" w:eastAsia="Arial" w:hAnsi="Arial" w:cs="Arial"/>
          <w:color w:val="000000"/>
          <w:sz w:val="24"/>
          <w:szCs w:val="24"/>
        </w:rPr>
        <w:lastRenderedPageBreak/>
        <w:t>Supplier shall not be entitled to negotiate or accept any changes to the price without obtaining the Buyer's prior written consent.</w:t>
      </w:r>
    </w:p>
    <w:p w14:paraId="00000011" w14:textId="77777777" w:rsidR="0049789D" w:rsidRDefault="00E6201C">
      <w:pPr>
        <w:numPr>
          <w:ilvl w:val="2"/>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In addition, at all times in carrying out its obligations and responsibilities under this Paragraph 1 the Supplier shall:</w:t>
      </w:r>
    </w:p>
    <w:p w14:paraId="00000012"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comply with all Laws, rules and guidance that apply to the Buyer including, without limitation, public procurement rules;</w:t>
      </w:r>
    </w:p>
    <w:p w14:paraId="00000013"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act towards the Buyer dutifully and in good faith, not allow its interests to conflict with the duties that it owes to the Buyer under this Contract and generally to carry out its agency in the way which it thinks best to promote the interests of the Buyer;</w:t>
      </w:r>
    </w:p>
    <w:p w14:paraId="00000014"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except as authorised by the Buyer, not act in a way which will incur any liabilities on behalf of the Buyer, nor pledge the credit of the Buyer;</w:t>
      </w:r>
    </w:p>
    <w:p w14:paraId="00000015"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comply with all reasonable and lawful instructions from the Buyer from time to time concerning its duties under the Accessed Contracts;</w:t>
      </w:r>
    </w:p>
    <w:p w14:paraId="00000016"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describe itself in all dealings with suppliers under Government Frameworks and on all correspondence, marketing and advertising material as the agent of the Buyer;</w:t>
      </w:r>
    </w:p>
    <w:p w14:paraId="00000017"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use all reasonable endeavours to ensure that each supplier under an Accessed Contract performs its relevant obligations in accordance with each Accessed Contract; and</w:t>
      </w:r>
    </w:p>
    <w:p w14:paraId="00000018" w14:textId="77777777" w:rsidR="0049789D" w:rsidRDefault="00E6201C">
      <w:pPr>
        <w:numPr>
          <w:ilvl w:val="3"/>
          <w:numId w:val="1"/>
        </w:numPr>
        <w:pBdr>
          <w:top w:val="nil"/>
          <w:left w:val="nil"/>
          <w:bottom w:val="nil"/>
          <w:right w:val="nil"/>
          <w:between w:val="nil"/>
        </w:pBdr>
        <w:tabs>
          <w:tab w:val="left" w:pos="175"/>
        </w:tabs>
        <w:spacing w:after="120"/>
        <w:rPr>
          <w:rFonts w:ascii="Arial" w:eastAsia="Arial" w:hAnsi="Arial" w:cs="Arial"/>
          <w:color w:val="000000"/>
          <w:sz w:val="24"/>
          <w:szCs w:val="24"/>
        </w:rPr>
      </w:pPr>
      <w:r>
        <w:rPr>
          <w:rFonts w:ascii="Arial" w:eastAsia="Arial" w:hAnsi="Arial" w:cs="Arial"/>
          <w:color w:val="000000"/>
          <w:sz w:val="24"/>
          <w:szCs w:val="24"/>
        </w:rPr>
        <w:t>discharge the obligations of the Buyer under each Accessed Contract (including, where required by the Buyer, making payments thereunder) as though it were the Buyer and in accordance with the terms of each such Accessed Contract.</w:t>
      </w:r>
    </w:p>
    <w:p w14:paraId="00000019"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The parties acknowledge that the Government Frameworks or Accessed Contracts may through the effluxion of time expire or may terminate during the Contract Period.  Prior to any Government Framework or Accessed Contract expiring or otherwise terminating where the Supplier receives notice of such termination it shall immediately notify the Buyer of the same.</w:t>
      </w:r>
    </w:p>
    <w:p w14:paraId="0000001A"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Throughout and after the Contract Period the Supplier shall indemnify the Buyer and keep the Buyer indemnified against all losses, claims, damages, costs and expenses (including reasonable legal fees) incurred by the Buyer arising from the Supplier's breach of any Government Framework or Accessed Contract and from the acts or omissions of the Supplier which may put the Buyer or another person in breach of any Government Framework.</w:t>
      </w:r>
    </w:p>
    <w:p w14:paraId="0000001B"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t>For the avoidance of doubt, the Supplier shall not be entitled to use any Government Framework or Accessed Contract for its own benefit or for any purpose other than as set out in this Paragraph 1.</w:t>
      </w:r>
    </w:p>
    <w:p w14:paraId="0000001C" w14:textId="77777777" w:rsidR="0049789D" w:rsidRDefault="00E6201C">
      <w:pPr>
        <w:numPr>
          <w:ilvl w:val="1"/>
          <w:numId w:val="1"/>
        </w:numPr>
        <w:pBdr>
          <w:top w:val="nil"/>
          <w:left w:val="nil"/>
          <w:bottom w:val="nil"/>
          <w:right w:val="nil"/>
          <w:between w:val="nil"/>
        </w:pBdr>
        <w:tabs>
          <w:tab w:val="left" w:pos="175"/>
        </w:tabs>
        <w:spacing w:after="120"/>
        <w:ind w:hanging="544"/>
        <w:rPr>
          <w:rFonts w:ascii="Arial" w:eastAsia="Arial" w:hAnsi="Arial" w:cs="Arial"/>
          <w:color w:val="000000"/>
          <w:sz w:val="24"/>
          <w:szCs w:val="24"/>
        </w:rPr>
      </w:pPr>
      <w:r>
        <w:rPr>
          <w:rFonts w:ascii="Arial" w:eastAsia="Arial" w:hAnsi="Arial" w:cs="Arial"/>
          <w:color w:val="000000"/>
          <w:sz w:val="24"/>
          <w:szCs w:val="24"/>
        </w:rPr>
        <w:lastRenderedPageBreak/>
        <w:t>The Buyer shall be entitled to terminate this Contract, in accordance with Clause 10.4 Core Terms, if the Supplier breaches any of the provisions of this Clause 1.</w:t>
      </w:r>
    </w:p>
    <w:p w14:paraId="00000035" w14:textId="77777777" w:rsidR="0049789D" w:rsidRDefault="0049789D">
      <w:pPr>
        <w:pBdr>
          <w:top w:val="nil"/>
          <w:left w:val="nil"/>
          <w:bottom w:val="nil"/>
          <w:right w:val="nil"/>
          <w:between w:val="nil"/>
        </w:pBdr>
        <w:tabs>
          <w:tab w:val="left" w:pos="175"/>
        </w:tabs>
        <w:spacing w:after="120"/>
        <w:ind w:left="2422" w:hanging="360"/>
        <w:rPr>
          <w:rFonts w:ascii="Arial" w:eastAsia="Arial" w:hAnsi="Arial" w:cs="Arial"/>
          <w:color w:val="000000"/>
          <w:sz w:val="24"/>
          <w:szCs w:val="24"/>
        </w:rPr>
      </w:pPr>
    </w:p>
    <w:sectPr w:rsidR="0049789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40035" w14:textId="77777777" w:rsidR="00812B62" w:rsidRDefault="00812B62">
      <w:pPr>
        <w:spacing w:after="0"/>
      </w:pPr>
      <w:r>
        <w:separator/>
      </w:r>
    </w:p>
  </w:endnote>
  <w:endnote w:type="continuationSeparator" w:id="0">
    <w:p w14:paraId="5CB96EA7" w14:textId="77777777" w:rsidR="00812B62" w:rsidRDefault="00812B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2" w14:textId="77777777" w:rsidR="0049789D" w:rsidRDefault="0049789D">
    <w:pPr>
      <w:pBdr>
        <w:top w:val="nil"/>
        <w:left w:val="nil"/>
        <w:bottom w:val="nil"/>
        <w:right w:val="nil"/>
        <w:between w:val="nil"/>
      </w:pBdr>
      <w:tabs>
        <w:tab w:val="center" w:pos="4513"/>
        <w:tab w:val="right" w:pos="9026"/>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E" w14:textId="77777777" w:rsidR="0049789D" w:rsidRDefault="0049789D">
    <w:pPr>
      <w:tabs>
        <w:tab w:val="center" w:pos="4513"/>
        <w:tab w:val="right" w:pos="9026"/>
      </w:tabs>
      <w:spacing w:after="0"/>
      <w:rPr>
        <w:rFonts w:ascii="Arial" w:eastAsia="Arial" w:hAnsi="Arial" w:cs="Arial"/>
        <w:sz w:val="20"/>
        <w:szCs w:val="20"/>
      </w:rPr>
    </w:pPr>
  </w:p>
  <w:p w14:paraId="0000003F" w14:textId="0F856DAF" w:rsidR="0049789D" w:rsidRDefault="00E6201C">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sidR="002E7D59">
      <w:rPr>
        <w:rFonts w:ascii="Arial" w:eastAsia="Arial" w:hAnsi="Arial" w:cs="Arial"/>
        <w:sz w:val="20"/>
        <w:szCs w:val="20"/>
      </w:rPr>
      <w:t>6331</w:t>
    </w:r>
  </w:p>
  <w:p w14:paraId="00000040" w14:textId="4FBDC5D8" w:rsidR="0049789D" w:rsidRDefault="00E6201C">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E6793">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041" w14:textId="77777777" w:rsidR="0049789D" w:rsidRDefault="00E6201C">
    <w:pPr>
      <w:tabs>
        <w:tab w:val="center" w:pos="4513"/>
        <w:tab w:val="right" w:pos="9026"/>
      </w:tabs>
      <w:spacing w:after="0"/>
    </w:pPr>
    <w:bookmarkStart w:id="4" w:name="_30j0zll" w:colFirst="0" w:colLast="0"/>
    <w:bookmarkEnd w:id="4"/>
    <w:r>
      <w:rPr>
        <w:rFonts w:ascii="Arial" w:eastAsia="Arial" w:hAnsi="Arial" w:cs="Arial"/>
        <w:sz w:val="20"/>
        <w:szCs w:val="20"/>
      </w:rPr>
      <w:t>Model Version: v1.0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3" w14:textId="77777777" w:rsidR="0049789D" w:rsidRDefault="0049789D">
    <w:pPr>
      <w:tabs>
        <w:tab w:val="center" w:pos="4513"/>
        <w:tab w:val="right" w:pos="9026"/>
      </w:tabs>
      <w:spacing w:after="0"/>
      <w:rPr>
        <w:rFonts w:ascii="Arial" w:eastAsia="Arial" w:hAnsi="Arial" w:cs="Arial"/>
        <w:color w:val="A6A6A6"/>
        <w:sz w:val="20"/>
        <w:szCs w:val="20"/>
      </w:rPr>
    </w:pPr>
  </w:p>
  <w:p w14:paraId="00000044" w14:textId="77777777" w:rsidR="0049789D" w:rsidRDefault="00E6201C">
    <w:pP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Framework Ref: RM</w:t>
    </w:r>
    <w:r>
      <w:rPr>
        <w:rFonts w:ascii="Arial" w:eastAsia="Arial" w:hAnsi="Arial" w:cs="Arial"/>
        <w:color w:val="A6A6A6"/>
        <w:sz w:val="20"/>
        <w:szCs w:val="20"/>
      </w:rPr>
      <w:tab/>
      <w:t xml:space="preserve">                                           </w:t>
    </w:r>
  </w:p>
  <w:p w14:paraId="00000045" w14:textId="77777777" w:rsidR="0049789D" w:rsidRDefault="00E6201C">
    <w:pPr>
      <w:pBdr>
        <w:top w:val="nil"/>
        <w:left w:val="nil"/>
        <w:bottom w:val="nil"/>
        <w:right w:val="nil"/>
        <w:between w:val="nil"/>
      </w:pBdr>
      <w:tabs>
        <w:tab w:val="center" w:pos="4513"/>
        <w:tab w:val="right" w:pos="9026"/>
      </w:tabs>
      <w:spacing w:after="0"/>
      <w:rPr>
        <w:rFonts w:ascii="Arial" w:eastAsia="Arial" w:hAnsi="Arial" w:cs="Arial"/>
        <w:color w:val="A6A6A6"/>
        <w:sz w:val="20"/>
        <w:szCs w:val="20"/>
      </w:rPr>
    </w:pPr>
    <w:r>
      <w:rPr>
        <w:rFonts w:ascii="Arial" w:eastAsia="Arial" w:hAnsi="Arial" w:cs="Arial"/>
        <w:color w:val="A6A6A6"/>
        <w:sz w:val="20"/>
        <w:szCs w:val="20"/>
      </w:rPr>
      <w:t>Project Version: v1.0</w:t>
    </w:r>
    <w:r>
      <w:rPr>
        <w:rFonts w:ascii="Arial" w:eastAsia="Arial" w:hAnsi="Arial" w:cs="Arial"/>
        <w:color w:val="A6A6A6"/>
        <w:sz w:val="20"/>
        <w:szCs w:val="20"/>
      </w:rPr>
      <w:tab/>
    </w:r>
    <w:r>
      <w:rPr>
        <w:rFonts w:ascii="Arial" w:eastAsia="Arial" w:hAnsi="Arial" w:cs="Arial"/>
        <w:color w:val="A6A6A6"/>
        <w:sz w:val="20"/>
        <w:szCs w:val="20"/>
      </w:rPr>
      <w:tab/>
    </w:r>
    <w:r>
      <w:rPr>
        <w:rFonts w:ascii="Arial" w:eastAsia="Arial" w:hAnsi="Arial" w:cs="Arial"/>
        <w:color w:val="A6A6A6"/>
        <w:sz w:val="20"/>
        <w:szCs w:val="20"/>
      </w:rPr>
      <w:tab/>
      <w:t xml:space="preserve"> </w:t>
    </w:r>
    <w:r>
      <w:rPr>
        <w:rFonts w:ascii="Arial" w:eastAsia="Arial" w:hAnsi="Arial" w:cs="Arial"/>
        <w:color w:val="A6A6A6"/>
        <w:sz w:val="20"/>
        <w:szCs w:val="20"/>
      </w:rPr>
      <w:fldChar w:fldCharType="begin"/>
    </w:r>
    <w:r>
      <w:rPr>
        <w:rFonts w:ascii="Arial" w:eastAsia="Arial" w:hAnsi="Arial" w:cs="Arial"/>
        <w:color w:val="A6A6A6"/>
        <w:sz w:val="20"/>
        <w:szCs w:val="20"/>
      </w:rPr>
      <w:instrText>PAGE</w:instrText>
    </w:r>
    <w:r>
      <w:rPr>
        <w:rFonts w:ascii="Arial" w:eastAsia="Arial" w:hAnsi="Arial" w:cs="Arial"/>
        <w:color w:val="A6A6A6"/>
        <w:sz w:val="20"/>
        <w:szCs w:val="20"/>
      </w:rPr>
      <w:fldChar w:fldCharType="end"/>
    </w:r>
  </w:p>
  <w:p w14:paraId="00000046" w14:textId="77777777" w:rsidR="0049789D" w:rsidRDefault="00E6201C">
    <w:pPr>
      <w:pBdr>
        <w:top w:val="nil"/>
        <w:left w:val="nil"/>
        <w:bottom w:val="nil"/>
        <w:right w:val="nil"/>
        <w:between w:val="nil"/>
      </w:pBdr>
      <w:tabs>
        <w:tab w:val="center" w:pos="4513"/>
        <w:tab w:val="right" w:pos="9026"/>
      </w:tabs>
      <w:spacing w:after="0"/>
      <w:rPr>
        <w:color w:val="A6A6A6"/>
      </w:rPr>
    </w:pPr>
    <w:r>
      <w:rPr>
        <w:rFonts w:ascii="Arial" w:eastAsia="Arial" w:hAnsi="Arial" w:cs="Arial"/>
        <w:color w:val="A6A6A6"/>
        <w:sz w:val="20"/>
        <w:szCs w:val="20"/>
      </w:rPr>
      <w:t xml:space="preserve">Model </w:t>
    </w:r>
    <w:proofErr w:type="gramStart"/>
    <w:r>
      <w:rPr>
        <w:rFonts w:ascii="Arial" w:eastAsia="Arial" w:hAnsi="Arial" w:cs="Arial"/>
        <w:color w:val="A6A6A6"/>
        <w:sz w:val="20"/>
        <w:szCs w:val="20"/>
      </w:rPr>
      <w:t>Version :</w:t>
    </w:r>
    <w:proofErr w:type="gramEnd"/>
    <w:r>
      <w:rPr>
        <w:rFonts w:ascii="Arial" w:eastAsia="Arial" w:hAnsi="Arial" w:cs="Arial"/>
        <w:color w:val="A6A6A6"/>
        <w:sz w:val="20"/>
        <w:szCs w:val="20"/>
      </w:rPr>
      <w:t xml:space="preserve"> v3.0</w:t>
    </w:r>
    <w:r>
      <w:rPr>
        <w:rFonts w:ascii="Arial" w:eastAsia="Arial" w:hAnsi="Arial" w:cs="Arial"/>
        <w:color w:val="A6A6A6"/>
        <w:sz w:val="20"/>
        <w:szCs w:val="20"/>
      </w:rPr>
      <w:tab/>
    </w:r>
    <w:r>
      <w:rPr>
        <w:rFonts w:ascii="Arial" w:eastAsia="Arial" w:hAnsi="Arial" w:cs="Arial"/>
        <w:color w:val="A6A6A6"/>
        <w:sz w:val="20"/>
        <w:szCs w:val="20"/>
      </w:rPr>
      <w:tab/>
    </w:r>
    <w:r>
      <w:rPr>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23C0D" w14:textId="77777777" w:rsidR="00812B62" w:rsidRDefault="00812B62">
      <w:pPr>
        <w:spacing w:after="0"/>
      </w:pPr>
      <w:r>
        <w:separator/>
      </w:r>
    </w:p>
  </w:footnote>
  <w:footnote w:type="continuationSeparator" w:id="0">
    <w:p w14:paraId="68CAD920" w14:textId="77777777" w:rsidR="00812B62" w:rsidRDefault="00812B6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D" w14:textId="77777777" w:rsidR="0049789D" w:rsidRDefault="0049789D">
    <w:pPr>
      <w:pBdr>
        <w:top w:val="nil"/>
        <w:left w:val="nil"/>
        <w:bottom w:val="nil"/>
        <w:right w:val="nil"/>
        <w:between w:val="nil"/>
      </w:pBdr>
      <w:tabs>
        <w:tab w:val="center" w:pos="4513"/>
        <w:tab w:val="right" w:pos="9026"/>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9" w14:textId="594F26A8" w:rsidR="0049789D" w:rsidRDefault="00E6201C">
    <w:pPr>
      <w:pBdr>
        <w:top w:val="nil"/>
        <w:left w:val="nil"/>
        <w:bottom w:val="nil"/>
        <w:right w:val="nil"/>
        <w:between w:val="nil"/>
      </w:pBdr>
      <w:tabs>
        <w:tab w:val="center" w:pos="4513"/>
        <w:tab w:val="right" w:pos="9026"/>
      </w:tabs>
      <w:spacing w:after="0"/>
      <w:rPr>
        <w:rFonts w:ascii="Arial" w:eastAsia="Arial" w:hAnsi="Arial" w:cs="Arial"/>
        <w:b/>
        <w:color w:val="FF0000"/>
        <w:sz w:val="20"/>
        <w:szCs w:val="20"/>
      </w:rPr>
    </w:pPr>
    <w:bookmarkStart w:id="3" w:name="_1t3h5sf" w:colFirst="0" w:colLast="0"/>
    <w:bookmarkEnd w:id="3"/>
    <w:r>
      <w:rPr>
        <w:rFonts w:ascii="Arial" w:eastAsia="Arial" w:hAnsi="Arial" w:cs="Arial"/>
        <w:b/>
        <w:color w:val="000000"/>
        <w:sz w:val="20"/>
        <w:szCs w:val="20"/>
      </w:rPr>
      <w:t>Call-Off Sched</w:t>
    </w:r>
    <w:r>
      <w:rPr>
        <w:rFonts w:ascii="Arial" w:eastAsia="Arial" w:hAnsi="Arial" w:cs="Arial"/>
        <w:b/>
        <w:color w:val="000000"/>
        <w:sz w:val="20"/>
        <w:szCs w:val="20"/>
        <w:highlight w:val="white"/>
      </w:rPr>
      <w:t xml:space="preserve">ule </w:t>
    </w:r>
    <w:r>
      <w:rPr>
        <w:rFonts w:ascii="Arial" w:eastAsia="Arial" w:hAnsi="Arial" w:cs="Arial"/>
        <w:b/>
        <w:sz w:val="20"/>
        <w:szCs w:val="20"/>
        <w:highlight w:val="white"/>
      </w:rPr>
      <w:t>27</w:t>
    </w:r>
    <w:r>
      <w:rPr>
        <w:rFonts w:ascii="Arial" w:eastAsia="Arial" w:hAnsi="Arial" w:cs="Arial"/>
        <w:b/>
        <w:color w:val="000000"/>
        <w:sz w:val="20"/>
        <w:szCs w:val="20"/>
        <w:highlight w:val="white"/>
      </w:rPr>
      <w:t xml:space="preserve"> </w:t>
    </w:r>
    <w:r>
      <w:rPr>
        <w:rFonts w:ascii="Arial" w:eastAsia="Arial" w:hAnsi="Arial" w:cs="Arial"/>
        <w:b/>
        <w:color w:val="000000"/>
        <w:sz w:val="20"/>
        <w:szCs w:val="20"/>
      </w:rPr>
      <w:t>(Accessed Contracts</w:t>
    </w:r>
    <w:r w:rsidR="002E7D59">
      <w:rPr>
        <w:rFonts w:ascii="Arial" w:eastAsia="Arial" w:hAnsi="Arial" w:cs="Arial"/>
        <w:b/>
        <w:color w:val="000000"/>
        <w:sz w:val="20"/>
        <w:szCs w:val="20"/>
      </w:rPr>
      <w:t>)</w:t>
    </w:r>
  </w:p>
  <w:p w14:paraId="0000003A" w14:textId="77777777" w:rsidR="0049789D" w:rsidRDefault="00E6201C">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Call-Off Ref:</w:t>
    </w:r>
  </w:p>
  <w:p w14:paraId="0000003B" w14:textId="77777777" w:rsidR="0049789D" w:rsidRDefault="00E6201C">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21</w:t>
    </w:r>
  </w:p>
  <w:p w14:paraId="0000003C" w14:textId="77777777" w:rsidR="0049789D" w:rsidRDefault="0049789D">
    <w:pPr>
      <w:pBdr>
        <w:top w:val="nil"/>
        <w:left w:val="nil"/>
        <w:bottom w:val="nil"/>
        <w:right w:val="nil"/>
        <w:between w:val="nil"/>
      </w:pBdr>
      <w:tabs>
        <w:tab w:val="center" w:pos="4513"/>
        <w:tab w:val="right" w:pos="9026"/>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6" w14:textId="77777777" w:rsidR="0049789D" w:rsidRDefault="0049789D">
    <w:pPr>
      <w:pBdr>
        <w:top w:val="nil"/>
        <w:left w:val="nil"/>
        <w:bottom w:val="nil"/>
        <w:right w:val="nil"/>
        <w:between w:val="nil"/>
      </w:pBdr>
      <w:tabs>
        <w:tab w:val="center" w:pos="4513"/>
        <w:tab w:val="right" w:pos="9026"/>
      </w:tabs>
      <w:spacing w:after="0"/>
      <w:rPr>
        <w:color w:val="000000"/>
      </w:rPr>
    </w:pPr>
  </w:p>
  <w:p w14:paraId="00000037" w14:textId="77777777" w:rsidR="0049789D" w:rsidRDefault="0049789D">
    <w:pPr>
      <w:pBdr>
        <w:top w:val="nil"/>
        <w:left w:val="nil"/>
        <w:bottom w:val="nil"/>
        <w:right w:val="nil"/>
        <w:between w:val="nil"/>
      </w:pBdr>
      <w:tabs>
        <w:tab w:val="center" w:pos="4513"/>
        <w:tab w:val="right" w:pos="9026"/>
      </w:tabs>
      <w:spacing w:after="0"/>
      <w:rPr>
        <w:color w:val="000000"/>
      </w:rPr>
    </w:pPr>
  </w:p>
  <w:p w14:paraId="00000038" w14:textId="77777777" w:rsidR="0049789D" w:rsidRDefault="0049789D">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B3931"/>
    <w:multiLevelType w:val="multilevel"/>
    <w:tmpl w:val="A894AAAC"/>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563" w:hanging="720"/>
      </w:pPr>
      <w:rPr>
        <w:rFonts w:ascii="Arial" w:eastAsia="Arial" w:hAnsi="Arial" w:cs="Arial"/>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89D"/>
    <w:rsid w:val="002E7D59"/>
    <w:rsid w:val="00332308"/>
    <w:rsid w:val="00446092"/>
    <w:rsid w:val="0049789D"/>
    <w:rsid w:val="005F692D"/>
    <w:rsid w:val="00812B62"/>
    <w:rsid w:val="008777C9"/>
    <w:rsid w:val="00C33E73"/>
    <w:rsid w:val="00E6201C"/>
    <w:rsid w:val="00FE67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FD984"/>
  <w15:docId w15:val="{B6F5C39B-7F77-4A96-89AD-AF7B62EF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777C9"/>
    <w:rPr>
      <w:b/>
      <w:bCs/>
    </w:rPr>
  </w:style>
  <w:style w:type="character" w:customStyle="1" w:styleId="CommentSubjectChar">
    <w:name w:val="Comment Subject Char"/>
    <w:basedOn w:val="CommentTextChar"/>
    <w:link w:val="CommentSubject"/>
    <w:uiPriority w:val="99"/>
    <w:semiHidden/>
    <w:rsid w:val="008777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Hanratty</dc:creator>
  <cp:lastModifiedBy>Mark Box</cp:lastModifiedBy>
  <cp:revision>2</cp:revision>
  <dcterms:created xsi:type="dcterms:W3CDTF">2024-07-10T10:32:00Z</dcterms:created>
  <dcterms:modified xsi:type="dcterms:W3CDTF">2024-07-10T10:32:00Z</dcterms:modified>
</cp:coreProperties>
</file>