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624" w:rsidRDefault="00443624">
      <w:pPr>
        <w:pBdr>
          <w:top w:val="nil"/>
          <w:left w:val="nil"/>
          <w:bottom w:val="nil"/>
          <w:right w:val="nil"/>
          <w:between w:val="nil"/>
        </w:pBdr>
        <w:spacing w:after="0"/>
        <w:ind w:left="0" w:hanging="567"/>
        <w:rPr>
          <w:rFonts w:ascii="Arial Bold" w:eastAsia="Arial Bold" w:hAnsi="Arial Bold" w:cs="Arial Bold"/>
          <w:b/>
          <w:color w:val="000000"/>
          <w:sz w:val="36"/>
          <w:szCs w:val="36"/>
        </w:rPr>
      </w:pPr>
      <w:bookmarkStart w:id="0" w:name="_heading=h.3tbugp1" w:colFirst="0" w:colLast="0"/>
      <w:bookmarkEnd w:id="0"/>
    </w:p>
    <w:p w:rsidR="00443624" w:rsidRDefault="005545FB">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9A (Security)</w:t>
      </w:r>
    </w:p>
    <w:p w:rsidR="00443624" w:rsidRDefault="00443624" w:rsidP="00DB3359">
      <w:pPr>
        <w:keepNext/>
        <w:pBdr>
          <w:top w:val="nil"/>
          <w:left w:val="nil"/>
          <w:bottom w:val="nil"/>
          <w:right w:val="nil"/>
          <w:between w:val="nil"/>
        </w:pBdr>
        <w:tabs>
          <w:tab w:val="left" w:pos="1134"/>
        </w:tabs>
        <w:spacing w:before="120" w:after="120"/>
        <w:ind w:left="644"/>
        <w:jc w:val="left"/>
        <w:rPr>
          <w:color w:val="000000"/>
          <w:sz w:val="24"/>
          <w:szCs w:val="24"/>
        </w:rPr>
      </w:pPr>
      <w:bookmarkStart w:id="1" w:name="bookmark=id.30j0zll" w:colFirst="0" w:colLast="0"/>
      <w:bookmarkEnd w:id="1"/>
    </w:p>
    <w:p w:rsidR="00443624" w:rsidRDefault="005545FB">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t>Long</w:t>
      </w:r>
      <w:r>
        <w:rPr>
          <w:rFonts w:ascii="Arial Bold" w:eastAsia="Arial Bold" w:hAnsi="Arial Bold" w:cs="Arial Bold"/>
          <w:b/>
          <w:color w:val="000000"/>
          <w:sz w:val="36"/>
          <w:szCs w:val="36"/>
        </w:rPr>
        <w:t xml:space="preserve"> Form Security Requirements</w:t>
      </w:r>
    </w:p>
    <w:p w:rsidR="00443624" w:rsidRDefault="005545FB">
      <w:pPr>
        <w:numPr>
          <w:ilvl w:val="0"/>
          <w:numId w:val="4"/>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Definitions </w:t>
      </w:r>
    </w:p>
    <w:p w:rsidR="00443624" w:rsidRDefault="005545FB">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
        <w:tblW w:w="80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5781"/>
      </w:tblGrid>
      <w:tr w:rsidR="00443624">
        <w:tc>
          <w:tcPr>
            <w:tcW w:w="2250" w:type="dxa"/>
          </w:tcPr>
          <w:p w:rsidR="00443624" w:rsidRDefault="005545FB">
            <w:pPr>
              <w:spacing w:after="120"/>
              <w:ind w:left="-108" w:firstLine="108"/>
              <w:jc w:val="left"/>
              <w:rPr>
                <w:rFonts w:ascii="Arial" w:eastAsia="Arial" w:hAnsi="Arial" w:cs="Arial"/>
                <w:b w:val="0"/>
                <w:sz w:val="24"/>
                <w:szCs w:val="24"/>
              </w:rPr>
            </w:pPr>
            <w:r>
              <w:rPr>
                <w:rFonts w:ascii="Arial" w:eastAsia="Arial" w:hAnsi="Arial" w:cs="Arial"/>
                <w:b w:val="0"/>
                <w:sz w:val="24"/>
                <w:szCs w:val="24"/>
              </w:rPr>
              <w:t>"</w:t>
            </w:r>
            <w:r>
              <w:rPr>
                <w:rFonts w:ascii="Arial" w:eastAsia="Arial" w:hAnsi="Arial" w:cs="Arial"/>
                <w:sz w:val="24"/>
                <w:szCs w:val="24"/>
              </w:rPr>
              <w:t>Breach of Security</w:t>
            </w:r>
            <w:r>
              <w:rPr>
                <w:rFonts w:ascii="Arial" w:eastAsia="Arial" w:hAnsi="Arial" w:cs="Arial"/>
                <w:b w:val="0"/>
                <w:sz w:val="24"/>
                <w:szCs w:val="24"/>
              </w:rPr>
              <w:t>"</w:t>
            </w:r>
          </w:p>
        </w:tc>
        <w:tc>
          <w:tcPr>
            <w:tcW w:w="5781" w:type="dxa"/>
          </w:tcPr>
          <w:p w:rsidR="00443624" w:rsidRDefault="005545FB">
            <w:pPr>
              <w:tabs>
                <w:tab w:val="left" w:pos="-9"/>
              </w:tabs>
              <w:spacing w:after="120"/>
              <w:ind w:left="0"/>
              <w:jc w:val="left"/>
              <w:rPr>
                <w:rFonts w:ascii="Arial" w:eastAsia="Arial" w:hAnsi="Arial" w:cs="Arial"/>
                <w:b w:val="0"/>
                <w:sz w:val="24"/>
                <w:szCs w:val="24"/>
              </w:rPr>
            </w:pPr>
            <w:r>
              <w:rPr>
                <w:rFonts w:ascii="Arial" w:eastAsia="Arial" w:hAnsi="Arial" w:cs="Arial"/>
                <w:b w:val="0"/>
                <w:sz w:val="24"/>
                <w:szCs w:val="24"/>
              </w:rPr>
              <w:t>means the occurrence of:</w:t>
            </w:r>
          </w:p>
          <w:p w:rsidR="00443624" w:rsidRDefault="005545FB">
            <w:pPr>
              <w:pStyle w:val="Heading2"/>
              <w:numPr>
                <w:ilvl w:val="1"/>
                <w:numId w:val="3"/>
              </w:numPr>
              <w:tabs>
                <w:tab w:val="left" w:pos="144"/>
              </w:tabs>
              <w:spacing w:after="120"/>
              <w:outlineLvl w:val="1"/>
              <w:rPr>
                <w:rFonts w:ascii="Arial" w:eastAsia="Arial" w:hAnsi="Arial" w:cs="Arial"/>
                <w:sz w:val="24"/>
                <w:szCs w:val="24"/>
              </w:rPr>
            </w:pPr>
            <w:r>
              <w:rPr>
                <w:rFonts w:ascii="Arial" w:eastAsia="Arial" w:hAnsi="Arial" w:cs="Arial"/>
                <w:sz w:val="24"/>
                <w:szCs w:val="24"/>
              </w:rPr>
              <w:t>any unauthorised access to or use of the Goods and/or Deliverables, the Sites and/or any Information and Communication Technology ("</w:t>
            </w:r>
            <w:r>
              <w:rPr>
                <w:rFonts w:ascii="Arial" w:eastAsia="Arial" w:hAnsi="Arial" w:cs="Arial"/>
                <w:b/>
                <w:sz w:val="24"/>
                <w:szCs w:val="24"/>
              </w:rPr>
              <w:t>ICT</w:t>
            </w:r>
            <w:r>
              <w:rPr>
                <w:rFonts w:ascii="Arial" w:eastAsia="Arial" w:hAnsi="Arial" w:cs="Arial"/>
                <w:sz w:val="24"/>
                <w:szCs w:val="24"/>
              </w:rPr>
              <w:t>"), information or data (including the Confidential Information and the Government Data) used by the Buyer and/or the Supplier in connection with this Contract; and/or</w:t>
            </w:r>
          </w:p>
          <w:p w:rsidR="00443624" w:rsidRDefault="005545FB">
            <w:pPr>
              <w:numPr>
                <w:ilvl w:val="1"/>
                <w:numId w:val="3"/>
              </w:numPr>
              <w:tabs>
                <w:tab w:val="left" w:pos="144"/>
              </w:tabs>
              <w:spacing w:after="120"/>
              <w:jc w:val="left"/>
              <w:rPr>
                <w:rFonts w:ascii="Arial" w:eastAsia="Arial" w:hAnsi="Arial" w:cs="Arial"/>
                <w:b w:val="0"/>
                <w:sz w:val="24"/>
                <w:szCs w:val="24"/>
              </w:rPr>
            </w:pPr>
            <w:r>
              <w:rPr>
                <w:rFonts w:ascii="Arial" w:eastAsia="Arial" w:hAnsi="Arial" w:cs="Arial"/>
                <w:b w:val="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443624" w:rsidRDefault="005545FB">
            <w:pPr>
              <w:tabs>
                <w:tab w:val="left" w:pos="-9"/>
              </w:tabs>
              <w:spacing w:after="120"/>
              <w:ind w:left="0"/>
              <w:jc w:val="left"/>
              <w:rPr>
                <w:rFonts w:ascii="Arial" w:eastAsia="Arial" w:hAnsi="Arial" w:cs="Arial"/>
                <w:b w:val="0"/>
                <w:sz w:val="24"/>
                <w:szCs w:val="24"/>
              </w:rPr>
            </w:pPr>
            <w:r>
              <w:rPr>
                <w:rFonts w:ascii="Arial" w:eastAsia="Arial" w:hAnsi="Arial" w:cs="Arial"/>
                <w:b w:val="0"/>
                <w:sz w:val="24"/>
                <w:szCs w:val="24"/>
              </w:rPr>
              <w:t>in either case as more particularly set out in the security requirements in the Security Policy where the Buyer has required compliance therewith in accordance with Paragraph 3.4.3(d);</w:t>
            </w:r>
          </w:p>
        </w:tc>
      </w:tr>
      <w:tr w:rsidR="00443624">
        <w:tc>
          <w:tcPr>
            <w:tcW w:w="2250" w:type="dxa"/>
          </w:tcPr>
          <w:p w:rsidR="00443624" w:rsidRDefault="005545FB">
            <w:pPr>
              <w:spacing w:after="120"/>
              <w:ind w:left="-108" w:firstLine="108"/>
              <w:jc w:val="left"/>
              <w:rPr>
                <w:rFonts w:ascii="Arial" w:eastAsia="Arial" w:hAnsi="Arial" w:cs="Arial"/>
                <w:b w:val="0"/>
                <w:sz w:val="24"/>
                <w:szCs w:val="24"/>
              </w:rPr>
            </w:pPr>
            <w:r>
              <w:rPr>
                <w:rFonts w:ascii="Arial" w:eastAsia="Arial" w:hAnsi="Arial" w:cs="Arial"/>
                <w:b w:val="0"/>
                <w:sz w:val="24"/>
                <w:szCs w:val="24"/>
              </w:rPr>
              <w:t>"</w:t>
            </w:r>
            <w:r>
              <w:rPr>
                <w:rFonts w:ascii="Arial" w:eastAsia="Arial" w:hAnsi="Arial" w:cs="Arial"/>
                <w:sz w:val="24"/>
                <w:szCs w:val="24"/>
              </w:rPr>
              <w:t>ISMS</w:t>
            </w:r>
            <w:r>
              <w:rPr>
                <w:rFonts w:ascii="Arial" w:eastAsia="Arial" w:hAnsi="Arial" w:cs="Arial"/>
                <w:b w:val="0"/>
                <w:sz w:val="24"/>
                <w:szCs w:val="24"/>
              </w:rPr>
              <w:t>"</w:t>
            </w:r>
          </w:p>
        </w:tc>
        <w:tc>
          <w:tcPr>
            <w:tcW w:w="5781" w:type="dxa"/>
          </w:tcPr>
          <w:p w:rsidR="00443624" w:rsidRDefault="005545FB">
            <w:pPr>
              <w:tabs>
                <w:tab w:val="left" w:pos="-9"/>
              </w:tabs>
              <w:spacing w:after="120"/>
              <w:ind w:left="0"/>
              <w:jc w:val="left"/>
              <w:rPr>
                <w:rFonts w:ascii="Arial" w:eastAsia="Arial" w:hAnsi="Arial" w:cs="Arial"/>
                <w:b w:val="0"/>
                <w:sz w:val="24"/>
                <w:szCs w:val="24"/>
              </w:rPr>
            </w:pPr>
            <w:r>
              <w:rPr>
                <w:rFonts w:ascii="Arial" w:eastAsia="Arial" w:hAnsi="Arial" w:cs="Arial"/>
                <w:b w:val="0"/>
                <w:sz w:val="24"/>
                <w:szCs w:val="24"/>
              </w:rPr>
              <w:t>the information security management system and process developed by the Supplier in accordance with Paragraph 3 (ISMS) as updated from time to time in accordance with this Schedule; and</w:t>
            </w:r>
          </w:p>
        </w:tc>
      </w:tr>
      <w:tr w:rsidR="00443624">
        <w:tc>
          <w:tcPr>
            <w:tcW w:w="2250" w:type="dxa"/>
          </w:tcPr>
          <w:p w:rsidR="00443624" w:rsidRDefault="005545FB">
            <w:pPr>
              <w:spacing w:after="120"/>
              <w:ind w:left="-108" w:firstLine="108"/>
              <w:jc w:val="left"/>
              <w:rPr>
                <w:rFonts w:ascii="Arial" w:eastAsia="Arial" w:hAnsi="Arial" w:cs="Arial"/>
                <w:b w:val="0"/>
                <w:sz w:val="24"/>
                <w:szCs w:val="24"/>
              </w:rPr>
            </w:pPr>
            <w:r>
              <w:rPr>
                <w:rFonts w:ascii="Arial" w:eastAsia="Arial" w:hAnsi="Arial" w:cs="Arial"/>
                <w:b w:val="0"/>
                <w:sz w:val="24"/>
                <w:szCs w:val="24"/>
              </w:rPr>
              <w:t>"</w:t>
            </w:r>
            <w:r>
              <w:rPr>
                <w:rFonts w:ascii="Arial" w:eastAsia="Arial" w:hAnsi="Arial" w:cs="Arial"/>
                <w:sz w:val="24"/>
                <w:szCs w:val="24"/>
              </w:rPr>
              <w:t>Security Tests</w:t>
            </w:r>
            <w:r>
              <w:rPr>
                <w:rFonts w:ascii="Arial" w:eastAsia="Arial" w:hAnsi="Arial" w:cs="Arial"/>
                <w:b w:val="0"/>
                <w:sz w:val="24"/>
                <w:szCs w:val="24"/>
              </w:rPr>
              <w:t>"</w:t>
            </w:r>
          </w:p>
        </w:tc>
        <w:tc>
          <w:tcPr>
            <w:tcW w:w="5781" w:type="dxa"/>
          </w:tcPr>
          <w:p w:rsidR="00443624" w:rsidRDefault="005545FB">
            <w:pPr>
              <w:tabs>
                <w:tab w:val="left" w:pos="-9"/>
              </w:tabs>
              <w:spacing w:after="120"/>
              <w:ind w:left="0"/>
              <w:jc w:val="left"/>
              <w:rPr>
                <w:rFonts w:ascii="Arial" w:eastAsia="Arial" w:hAnsi="Arial" w:cs="Arial"/>
                <w:b w:val="0"/>
                <w:sz w:val="24"/>
                <w:szCs w:val="24"/>
              </w:rPr>
            </w:pPr>
            <w:r>
              <w:rPr>
                <w:rFonts w:ascii="Arial" w:eastAsia="Arial" w:hAnsi="Arial" w:cs="Arial"/>
                <w:b w:val="0"/>
                <w:sz w:val="24"/>
                <w:szCs w:val="24"/>
              </w:rPr>
              <w:t>tests to validate the ISMS and security of all relevant processes, systems, incident response plans, patches to vulnerabilities and mitigations to Breaches of Security.</w:t>
            </w:r>
          </w:p>
        </w:tc>
      </w:tr>
    </w:tbl>
    <w:p w:rsidR="00443624" w:rsidRDefault="005545FB">
      <w:pPr>
        <w:keepNext/>
        <w:numPr>
          <w:ilvl w:val="0"/>
          <w:numId w:val="4"/>
        </w:numPr>
        <w:pBdr>
          <w:top w:val="nil"/>
          <w:left w:val="nil"/>
          <w:bottom w:val="nil"/>
          <w:right w:val="nil"/>
          <w:between w:val="nil"/>
        </w:pBdr>
        <w:tabs>
          <w:tab w:val="left" w:pos="0"/>
        </w:tabs>
        <w:spacing w:before="240"/>
        <w:jc w:val="left"/>
        <w:rPr>
          <w:b/>
          <w:smallCaps/>
          <w:color w:val="000000"/>
          <w:sz w:val="24"/>
          <w:szCs w:val="24"/>
        </w:rPr>
      </w:pPr>
      <w:bookmarkStart w:id="2" w:name="_heading=h.4i7ojhp" w:colFirst="0" w:colLast="0"/>
      <w:bookmarkEnd w:id="2"/>
      <w:r>
        <w:rPr>
          <w:rFonts w:ascii="Arial Bold" w:eastAsia="Arial Bold" w:hAnsi="Arial Bold" w:cs="Arial Bold"/>
          <w:b/>
          <w:color w:val="000000"/>
          <w:sz w:val="24"/>
          <w:szCs w:val="24"/>
        </w:rPr>
        <w:lastRenderedPageBreak/>
        <w:t xml:space="preserve">Security Requirements </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Parties shall each appoint a security representative to be responsible for Security.  The initial security representatives of the Parties are: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418" w:hanging="709"/>
        <w:rPr>
          <w:color w:val="000000"/>
          <w:sz w:val="24"/>
          <w:szCs w:val="24"/>
        </w:rPr>
      </w:pPr>
      <w:bookmarkStart w:id="3" w:name="_heading=h.2xcytpi" w:colFirst="0" w:colLast="0"/>
      <w:bookmarkEnd w:id="3"/>
      <w:r>
        <w:rPr>
          <w:color w:val="000000"/>
          <w:sz w:val="24"/>
          <w:szCs w:val="24"/>
          <w:highlight w:val="yellow"/>
        </w:rPr>
        <w:t>[insert security representative of the Buyer]</w:t>
      </w:r>
    </w:p>
    <w:p w:rsidR="00443624" w:rsidRDefault="005545FB">
      <w:pPr>
        <w:numPr>
          <w:ilvl w:val="2"/>
          <w:numId w:val="4"/>
        </w:numPr>
        <w:pBdr>
          <w:top w:val="nil"/>
          <w:left w:val="nil"/>
          <w:bottom w:val="nil"/>
          <w:right w:val="nil"/>
          <w:between w:val="nil"/>
        </w:pBdr>
        <w:tabs>
          <w:tab w:val="left" w:pos="1985"/>
          <w:tab w:val="left" w:pos="2127"/>
        </w:tabs>
        <w:spacing w:before="120" w:after="120"/>
        <w:ind w:left="1418" w:hanging="709"/>
        <w:rPr>
          <w:color w:val="000000"/>
          <w:sz w:val="24"/>
          <w:szCs w:val="24"/>
        </w:rPr>
      </w:pPr>
      <w:bookmarkStart w:id="4" w:name="_heading=h.1ci93xb" w:colFirst="0" w:colLast="0"/>
      <w:bookmarkEnd w:id="4"/>
      <w:r>
        <w:rPr>
          <w:color w:val="000000"/>
          <w:sz w:val="24"/>
          <w:szCs w:val="24"/>
          <w:highlight w:val="yellow"/>
        </w:rPr>
        <w:t>[insert security representative of the Supplier]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shall clearly articulate its high level security requirements so that the Supplier can ensure that the ISMS, security related activities and any mitigations are driven by these fundamental needs.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Both Parties shall provide a reasonable level of access to any members of their staff for the purposes of designing, implementing and managing security.</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443624" w:rsidRDefault="005545FB">
      <w:pPr>
        <w:keepNext/>
        <w:numPr>
          <w:ilvl w:val="0"/>
          <w:numId w:val="4"/>
        </w:numPr>
        <w:pBdr>
          <w:top w:val="nil"/>
          <w:left w:val="nil"/>
          <w:bottom w:val="nil"/>
          <w:right w:val="nil"/>
          <w:between w:val="nil"/>
        </w:pBdr>
        <w:tabs>
          <w:tab w:val="left" w:pos="0"/>
        </w:tabs>
        <w:spacing w:before="240"/>
        <w:rPr>
          <w:b/>
          <w:smallCaps/>
          <w:color w:val="000000"/>
          <w:sz w:val="24"/>
          <w:szCs w:val="24"/>
        </w:rPr>
      </w:pPr>
      <w:bookmarkStart w:id="5" w:name="_heading=h.3whwml4" w:colFirst="0" w:colLast="0"/>
      <w:bookmarkEnd w:id="5"/>
      <w:r>
        <w:rPr>
          <w:b/>
          <w:smallCaps/>
          <w:color w:val="000000"/>
          <w:sz w:val="24"/>
          <w:szCs w:val="24"/>
        </w:rPr>
        <w:t>I</w:t>
      </w:r>
      <w:r>
        <w:rPr>
          <w:rFonts w:ascii="Arial Bold" w:eastAsia="Arial Bold" w:hAnsi="Arial Bold" w:cs="Arial Bold"/>
          <w:b/>
          <w:color w:val="000000"/>
          <w:sz w:val="24"/>
          <w:szCs w:val="24"/>
        </w:rPr>
        <w:t>nformation Security Management System (ISMS)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6" w:name="_heading=h.2bn6wsx" w:colFirst="0" w:colLast="0"/>
      <w:bookmarkEnd w:id="6"/>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acknowledges that;</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If the Buyer has not stipulated during a Further Competition that it requires a bespoke ISMS, the ISMS provided by the Supplier may be </w:t>
      </w:r>
      <w:r>
        <w:rPr>
          <w:color w:val="000000"/>
          <w:sz w:val="24"/>
          <w:szCs w:val="24"/>
        </w:rPr>
        <w:lastRenderedPageBreak/>
        <w:t>an extant ISMS covering the Services and their implementation across the Supplier’s estate;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Where the Buyer has stipulated that it requires a bespoke ISMS then the Supplier shall be required to present the ISMS for the Buyer’s Approval.</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7" w:name="_heading=h.qsh70q" w:colFirst="0" w:colLast="0"/>
      <w:bookmarkEnd w:id="7"/>
      <w:r>
        <w:rPr>
          <w:color w:val="000000"/>
          <w:sz w:val="24"/>
          <w:szCs w:val="24"/>
        </w:rPr>
        <w:t>The ISMS shall:</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meet the relevant standards in ISO/IEC 27001 and ISO/IEC27002 in accordance with Paragraph 7;</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at all times provide a level of security which:</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is in accordance with the Law and this Contract;</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complies with the Baseline Security Requirements;</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as a minimum demonstrates Good Industry Practice;</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where specified by a Buyer that has undertaken a Further Competition - complies with the Security Policy and the ICT Policy;</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complies with at least the minimum set of security measures and standards as determined by the Security Policy Framework (Tiers 1-4)  (</w:t>
      </w:r>
      <w:hyperlink r:id="rId8">
        <w:r>
          <w:rPr>
            <w:color w:val="3366FF"/>
            <w:sz w:val="24"/>
            <w:szCs w:val="24"/>
            <w:u w:val="single"/>
          </w:rPr>
          <w:t>https://www.gov.uk/government/publications/security-policy-framework/hmg-security-policy-framework</w:t>
        </w:r>
      </w:hyperlink>
      <w:r>
        <w:rPr>
          <w:color w:val="3366FF"/>
          <w:sz w:val="24"/>
          <w:szCs w:val="24"/>
        </w:rPr>
        <w:t>)</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takes account of guidance issued by the Centre for Protection of National Infrastructure (</w:t>
      </w:r>
      <w:hyperlink r:id="rId9">
        <w:r>
          <w:rPr>
            <w:color w:val="0000FF"/>
            <w:sz w:val="24"/>
            <w:szCs w:val="24"/>
            <w:u w:val="single"/>
          </w:rPr>
          <w:t>https://www.cpni.gov.uk</w:t>
        </w:r>
      </w:hyperlink>
      <w:r>
        <w:rPr>
          <w:color w:val="000000"/>
          <w:sz w:val="24"/>
          <w:szCs w:val="24"/>
        </w:rPr>
        <w:t>)</w:t>
      </w:r>
    </w:p>
    <w:p w:rsidR="00457825" w:rsidRPr="00B92D74" w:rsidRDefault="00457825" w:rsidP="00B92D74">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sidRPr="00457825">
        <w:rPr>
          <w:color w:val="222222"/>
          <w:sz w:val="24"/>
          <w:szCs w:val="24"/>
          <w:shd w:val="clear" w:color="auto" w:fill="FFFFFF"/>
        </w:rPr>
        <w:t>C</w:t>
      </w:r>
      <w:r w:rsidRPr="00457825">
        <w:rPr>
          <w:color w:val="222222"/>
          <w:sz w:val="24"/>
          <w:szCs w:val="24"/>
          <w:shd w:val="clear" w:color="auto" w:fill="FFFFFF"/>
        </w:rPr>
        <w:t>omplies with the NCSC C</w:t>
      </w:r>
      <w:r>
        <w:rPr>
          <w:color w:val="222222"/>
          <w:sz w:val="24"/>
          <w:szCs w:val="24"/>
          <w:shd w:val="clear" w:color="auto" w:fill="FFFFFF"/>
        </w:rPr>
        <w:t xml:space="preserve">yber Assessment Framework (CAF) </w:t>
      </w:r>
      <w:r w:rsidR="00B92D74" w:rsidRPr="00B92D74">
        <w:rPr>
          <w:sz w:val="24"/>
          <w:szCs w:val="24"/>
          <w:shd w:val="clear" w:color="auto" w:fill="FFFFFF"/>
        </w:rPr>
        <w:t>(</w:t>
      </w:r>
      <w:hyperlink r:id="rId10" w:tgtFrame="_blank" w:history="1">
        <w:r w:rsidRPr="00B92D74">
          <w:rPr>
            <w:rStyle w:val="Hyperlink"/>
            <w:color w:val="3333FF"/>
            <w:sz w:val="24"/>
            <w:szCs w:val="24"/>
            <w:shd w:val="clear" w:color="auto" w:fill="FFFFFF"/>
          </w:rPr>
          <w:t>https://www.ncsc.gov.uk/collection/cyber-assessment-framework-c</w:t>
        </w:r>
        <w:r w:rsidRPr="00B92D74">
          <w:rPr>
            <w:rStyle w:val="Hyperlink"/>
            <w:color w:val="3333FF"/>
            <w:sz w:val="24"/>
            <w:szCs w:val="24"/>
            <w:shd w:val="clear" w:color="auto" w:fill="FFFFFF"/>
          </w:rPr>
          <w:t>a</w:t>
        </w:r>
        <w:r w:rsidRPr="00B92D74">
          <w:rPr>
            <w:rStyle w:val="Hyperlink"/>
            <w:color w:val="3333FF"/>
            <w:sz w:val="24"/>
            <w:szCs w:val="24"/>
            <w:shd w:val="clear" w:color="auto" w:fill="FFFFFF"/>
          </w:rPr>
          <w:t>f</w:t>
        </w:r>
      </w:hyperlink>
      <w:r w:rsidRPr="00B92D74">
        <w:rPr>
          <w:color w:val="222222"/>
          <w:sz w:val="24"/>
          <w:szCs w:val="24"/>
          <w:shd w:val="clear" w:color="auto" w:fill="FFFFFF"/>
        </w:rPr>
        <w:t>)</w:t>
      </w:r>
      <w:bookmarkStart w:id="8" w:name="_GoBack"/>
      <w:bookmarkEnd w:id="8"/>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meets any specific security threats of immediate relevance to the ISMS, the Deliverables and/or Government Data;</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addresses issues of incompatibility with the Supplier’s own organisational security policies; and</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complies with ISO/IEC27001 and ISO/IEC27002 in accordance with Paragraph 7;</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lastRenderedPageBreak/>
        <w:t>document the security incident management processes and incident response plans;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bookmarkStart w:id="9" w:name="_heading=h.3as4poj" w:colFirst="0" w:colLast="0"/>
      <w:bookmarkEnd w:id="9"/>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0" w:name="_heading=h.1pxezwc" w:colFirst="0" w:colLast="0"/>
      <w:bookmarkEnd w:id="10"/>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1" w:name="_heading=h.49x2ik5" w:colFirst="0" w:colLast="0"/>
      <w:bookmarkEnd w:id="11"/>
      <w:r>
        <w:rPr>
          <w:color w:val="000000"/>
          <w:sz w:val="24"/>
          <w:szCs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rsidR="00443624" w:rsidRDefault="005545FB">
      <w:pPr>
        <w:keepNext/>
        <w:numPr>
          <w:ilvl w:val="0"/>
          <w:numId w:val="4"/>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2" w:name="_heading=h.2p2csry" w:colFirst="0" w:colLast="0"/>
      <w:bookmarkEnd w:id="12"/>
      <w:r>
        <w:rPr>
          <w:color w:val="000000"/>
          <w:sz w:val="24"/>
          <w:szCs w:val="24"/>
        </w:rPr>
        <w:t xml:space="preserve">Within twenty (20) Working Days after the Start Date, the Supplier shall prepare and submit to the Buyer for Approval in accordance with Paragraph 4 fully </w:t>
      </w:r>
      <w:r>
        <w:rPr>
          <w:color w:val="000000"/>
          <w:sz w:val="24"/>
          <w:szCs w:val="24"/>
        </w:rPr>
        <w:lastRenderedPageBreak/>
        <w:t xml:space="preserve">developed, complete and up-to-date Security Management Plan which shall comply with the requirements of Paragraph 4.2. </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3" w:name="_heading=h.147n2zr" w:colFirst="0" w:colLast="0"/>
      <w:bookmarkEnd w:id="13"/>
      <w:r>
        <w:rPr>
          <w:color w:val="000000"/>
          <w:sz w:val="24"/>
          <w:szCs w:val="24"/>
        </w:rPr>
        <w:t>The Security Management Plan shall:</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be based on the initial Security Management Plan set out in Annex 2 (Security Management Plan);</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comply with the Baseline Security Requirements and, where specified by the Buyer in accordance with Paragraph 3.4.3(d), the Security Policy;</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identify the necessary delegated organisational roles defined for those responsible for ensuring this Schedule is complied with by the Supplier;</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set out the plans for transitioning all security arrangements and responsibilities from those in place at the Start Date to those </w:t>
      </w:r>
      <w:r>
        <w:rPr>
          <w:color w:val="000000"/>
          <w:sz w:val="24"/>
          <w:szCs w:val="24"/>
        </w:rPr>
        <w:lastRenderedPageBreak/>
        <w:t>incorporated in the ISMS within the timeframe agreed between the Parties;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set out the scope of the Buyer System that is under the control of the Supplier;</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4" w:name="_heading=h.3o7alnk" w:colFirst="0" w:colLast="0"/>
      <w:bookmarkEnd w:id="14"/>
      <w:r>
        <w:rPr>
          <w:color w:val="000000"/>
          <w:sz w:val="24"/>
          <w:szCs w:val="24"/>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rsidR="00443624" w:rsidRDefault="005545FB">
      <w:pPr>
        <w:keepNext/>
        <w:numPr>
          <w:ilvl w:val="0"/>
          <w:numId w:val="4"/>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5" w:name="_heading=h.23ckvvd" w:colFirst="0" w:colLast="0"/>
      <w:bookmarkEnd w:id="15"/>
      <w:r>
        <w:rPr>
          <w:color w:val="000000"/>
          <w:sz w:val="24"/>
          <w:szCs w:val="24"/>
        </w:rPr>
        <w:t>The ISMS and Security Management Plan shall be fully reviewed and updated by the Supplier and at least annually to reflect:</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emerging changes in Good Industry Practice;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any change or proposed change to the Supplier System, the Deliverables and/or associated processes; </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any new perceived or changed security threats; </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where required in accordance with Paragraph 3.4.3(d), any changes to the Security Policy;</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any new perceived or changed security threats;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any reasonable change in requirement requested by the Buyer.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6" w:name="_heading=h.ihv636" w:colFirst="0" w:colLast="0"/>
      <w:bookmarkEnd w:id="16"/>
      <w:r>
        <w:rPr>
          <w:color w:val="000000"/>
          <w:sz w:val="24"/>
          <w:szCs w:val="24"/>
        </w:rPr>
        <w:lastRenderedPageBreak/>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suggested improvements to the effectiveness of the ISMS;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updates to the risk assessments;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proposed modifications to the procedures and controls that affect information security to respond to events that may impact on the ISMS;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suggested improvements in measuring the effectiveness of controls.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7" w:name="_heading=h.32hioqz" w:colFirst="0" w:colLast="0"/>
      <w:bookmarkEnd w:id="17"/>
      <w:r>
        <w:rPr>
          <w:color w:val="000000"/>
          <w:sz w:val="24"/>
          <w:szCs w:val="24"/>
        </w:rPr>
        <w:t>Subject to Paragraph 5.4, any change which the Supplier proposes to make to the ISMS or Security Management Plan (as a result of a review carried out pursuant to Paragraph 5.1, a Buyer request, a change to Annex 1 (Baseline Security Requirements) or otherwise) shall be subject to the Variation Procedure and shall not be implemented until Approved in writing by the Buyer.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8" w:name="_heading=h.1hmsyys" w:colFirst="0" w:colLast="0"/>
      <w:bookmarkEnd w:id="18"/>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443624" w:rsidRDefault="005545FB">
      <w:pPr>
        <w:keepNext/>
        <w:numPr>
          <w:ilvl w:val="0"/>
          <w:numId w:val="4"/>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9" w:name="_heading=h.41mghml" w:colFirst="0" w:colLast="0"/>
      <w:bookmarkEnd w:id="19"/>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relevant Service Level Performance Indicators, the Supplier shall be granted relief against any resultant under-performance for the period of the Security Tests.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0" w:name="_heading=h.2grqrue" w:colFirst="0" w:colLast="0"/>
      <w:bookmarkEnd w:id="20"/>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1" w:name="_heading=h.vx1227" w:colFirst="0" w:colLast="0"/>
      <w:bookmarkEnd w:id="21"/>
      <w:r>
        <w:rPr>
          <w:color w:val="000000"/>
          <w:sz w:val="24"/>
          <w:szCs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w:t>
      </w:r>
      <w:r>
        <w:rPr>
          <w:color w:val="000000"/>
          <w:sz w:val="24"/>
          <w:szCs w:val="24"/>
        </w:rPr>
        <w:lastRenderedPageBreak/>
        <w:t>Management Plan. The Buyer may notify the Supplier of the results of such tests after completion of each such test.  If any such Buyer’s test adversely affects the Supplier’s ability to deliver the Deliverables so as to meet the relevant Service Level Performance Indicators, the Supplier shall be granted relief against any resultant under-performance for the period of the Buyer’s test.</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2" w:name="_heading=h.3fwokq0" w:colFirst="0" w:colLast="0"/>
      <w:bookmarkEnd w:id="22"/>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rsidR="00443624" w:rsidRDefault="005545FB">
      <w:pPr>
        <w:keepNext/>
        <w:numPr>
          <w:ilvl w:val="0"/>
          <w:numId w:val="4"/>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3.4.3(d).</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3" w:name="_heading=h.1v1yuxt" w:colFirst="0" w:colLast="0"/>
      <w:bookmarkEnd w:id="23"/>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443624" w:rsidRDefault="005545FB">
      <w:pPr>
        <w:keepNext/>
        <w:numPr>
          <w:ilvl w:val="0"/>
          <w:numId w:val="4"/>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lastRenderedPageBreak/>
        <w:t>Security Breach</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4" w:name="_heading=h.4f1mdlm" w:colFirst="0" w:colLast="0"/>
      <w:bookmarkEnd w:id="24"/>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immediately take all reasonable steps (which shall include any action or changes reasonably required by the Buyer) necessary to:</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 xml:space="preserve">minimise the extent of actual or potential harm caused by any Breach of Security; </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prevent a further Breach of Security or any potential or attempted Breach of Security in the future exploiting the same root cause failure; and</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supply any requested data to the Buyer (or 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443624" w:rsidRDefault="005545FB">
      <w:pPr>
        <w:keepNext/>
        <w:numPr>
          <w:ilvl w:val="0"/>
          <w:numId w:val="4"/>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Vulnerabilities and fixing them</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Microsoft’s ‘Security Bulletin Severity Rating System’ ratings ‘Critical’, ‘Important’, and the two remaining levels (‘Moderate’ and ‘Low’) respectively.</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5" w:name="_heading=h.2u6wntf" w:colFirst="0" w:colLast="0"/>
      <w:bookmarkEnd w:id="25"/>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the Buyer agrees a different maximum period after a case-by-case consultation with the Supplier under the processes defined in the ISMS.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lastRenderedPageBreak/>
        <w:t xml:space="preserve">is agreed with the Buyer in writing. </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ensure it is knowledgeable about the latest trends in threat, vulnerability and exploitation that are relevant to the ICT Environment by actively monitoring the threat landscape during the Contract Period;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A failure to comply with Paragraph 9.3 shall constitute a Default, and the Supplier shall comply with the Rectification Plan Process.</w:t>
      </w:r>
    </w:p>
    <w:p w:rsidR="00443624" w:rsidRDefault="005545FB">
      <w:pPr>
        <w:pBdr>
          <w:top w:val="nil"/>
          <w:left w:val="nil"/>
          <w:bottom w:val="nil"/>
          <w:right w:val="nil"/>
          <w:between w:val="nil"/>
        </w:pBdr>
        <w:ind w:left="0"/>
        <w:rPr>
          <w:rFonts w:ascii="Arial Bold" w:eastAsia="Arial Bold" w:hAnsi="Arial Bold" w:cs="Arial Bold"/>
          <w:b/>
          <w:color w:val="000000"/>
          <w:sz w:val="36"/>
          <w:szCs w:val="36"/>
        </w:rPr>
      </w:pPr>
      <w:bookmarkStart w:id="26" w:name="_heading=h.19c6y18" w:colFirst="0" w:colLast="0"/>
      <w:bookmarkEnd w:id="26"/>
      <w:r>
        <w:br w:type="page"/>
      </w:r>
      <w:r>
        <w:rPr>
          <w:rFonts w:ascii="Arial Bold" w:eastAsia="Arial Bold" w:hAnsi="Arial Bold" w:cs="Arial Bold"/>
          <w:b/>
          <w:color w:val="000000"/>
          <w:sz w:val="36"/>
          <w:szCs w:val="36"/>
        </w:rPr>
        <w:lastRenderedPageBreak/>
        <w:t>Part B – A</w:t>
      </w:r>
      <w:bookmarkStart w:id="27" w:name="bookmark=id.3tbugp1" w:colFirst="0" w:colLast="0"/>
      <w:bookmarkEnd w:id="27"/>
      <w:r>
        <w:rPr>
          <w:rFonts w:ascii="Arial Bold" w:eastAsia="Arial Bold" w:hAnsi="Arial Bold" w:cs="Arial Bold"/>
          <w:b/>
          <w:color w:val="000000"/>
          <w:sz w:val="36"/>
          <w:szCs w:val="36"/>
        </w:rPr>
        <w:t xml:space="preserve">nnex 1: </w:t>
      </w:r>
    </w:p>
    <w:p w:rsidR="00443624" w:rsidRDefault="005545FB">
      <w:pPr>
        <w:pBdr>
          <w:top w:val="nil"/>
          <w:left w:val="nil"/>
          <w:bottom w:val="nil"/>
          <w:right w:val="nil"/>
          <w:between w:val="nil"/>
        </w:pBdr>
        <w:ind w:left="0"/>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rsidR="00443624" w:rsidRDefault="00443624">
      <w:pPr>
        <w:pBdr>
          <w:top w:val="nil"/>
          <w:left w:val="nil"/>
          <w:bottom w:val="nil"/>
          <w:right w:val="nil"/>
          <w:between w:val="nil"/>
        </w:pBdr>
        <w:spacing w:after="0"/>
        <w:ind w:left="0"/>
        <w:rPr>
          <w:color w:val="000000"/>
          <w:sz w:val="24"/>
          <w:szCs w:val="24"/>
        </w:rPr>
      </w:pPr>
    </w:p>
    <w:p w:rsidR="00443624" w:rsidRDefault="005545FB">
      <w:pPr>
        <w:keepNext/>
        <w:numPr>
          <w:ilvl w:val="0"/>
          <w:numId w:val="1"/>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t>Handling Classified information</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443624" w:rsidRDefault="005545FB">
      <w:pPr>
        <w:keepNext/>
        <w:numPr>
          <w:ilvl w:val="0"/>
          <w:numId w:val="1"/>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t>End user devices</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1">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443624" w:rsidRDefault="005545FB">
      <w:pPr>
        <w:keepNext/>
        <w:numPr>
          <w:ilvl w:val="0"/>
          <w:numId w:val="1"/>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rsidR="00443624" w:rsidRDefault="005545FB">
      <w:pPr>
        <w:keepNext/>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provide the Buyer with all Government Data on demand in an agreed open format;</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lastRenderedPageBreak/>
        <w:t>have documented processes to guarantee availability of Government Data in the event of the Supplier ceasing to trade;</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securely destroy all media that has held Government Data at the end of life of that media in line with Good Industry Practice; and</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securely erase any or all Government Data held by the Supplier when requested to do so by the Buyer.</w:t>
      </w:r>
    </w:p>
    <w:p w:rsidR="00443624" w:rsidRDefault="005545FB">
      <w:pPr>
        <w:keepNext/>
        <w:numPr>
          <w:ilvl w:val="0"/>
          <w:numId w:val="1"/>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t xml:space="preserve">Ensuring secure communications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rsidR="00443624" w:rsidRDefault="005545FB">
      <w:pPr>
        <w:keepNext/>
        <w:numPr>
          <w:ilvl w:val="0"/>
          <w:numId w:val="1"/>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t xml:space="preserve">Security by design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2">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rsidR="00443624" w:rsidRDefault="005545FB">
      <w:pPr>
        <w:keepNext/>
        <w:numPr>
          <w:ilvl w:val="0"/>
          <w:numId w:val="1"/>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Supplier Staff shall be subject to pre-employment checks that include, as a minimum: identity, unspent criminal convictions and right to work.</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All Supplier Staff that have the ability to access Government Data or systems holding Government Data shall undergo regular training on secure information </w:t>
      </w:r>
      <w:r>
        <w:rPr>
          <w:color w:val="000000"/>
          <w:sz w:val="24"/>
          <w:szCs w:val="24"/>
        </w:rPr>
        <w:lastRenderedPageBreak/>
        <w:t>management principles. Unless otherwise agreed with the Buyer in writing, this training must be undertaken annually.</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443624" w:rsidRDefault="005545FB">
      <w:pPr>
        <w:keepNext/>
        <w:numPr>
          <w:ilvl w:val="0"/>
          <w:numId w:val="1"/>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t xml:space="preserve">Restricting and monitoring access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443624" w:rsidRDefault="005545FB">
      <w:pPr>
        <w:keepNext/>
        <w:numPr>
          <w:ilvl w:val="0"/>
          <w:numId w:val="1"/>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bookmarkStart w:id="28" w:name="_heading=h.28h4qwu" w:colFirst="0" w:colLast="0"/>
      <w:bookmarkEnd w:id="28"/>
      <w:r>
        <w:rPr>
          <w:rFonts w:ascii="Arial Bold" w:eastAsia="Arial Bold" w:hAnsi="Arial Bold" w:cs="Arial Bold"/>
          <w:b/>
          <w:color w:val="000000"/>
          <w:sz w:val="24"/>
          <w:szCs w:val="24"/>
        </w:rPr>
        <w:t xml:space="preserve">Audit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The Supplier and the Buyer shall work together to establish any additional audit and monitoring requirements for the ICT Environment.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retain audit records collected in compliance with this Paragraph 8 for a period of at least 6 Months.</w:t>
      </w:r>
    </w:p>
    <w:p w:rsidR="00443624" w:rsidRDefault="005545FB">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p w:rsidR="00443624" w:rsidRDefault="00443624">
      <w:pPr>
        <w:pBdr>
          <w:top w:val="nil"/>
          <w:left w:val="nil"/>
          <w:bottom w:val="nil"/>
          <w:right w:val="nil"/>
          <w:between w:val="nil"/>
        </w:pBdr>
        <w:spacing w:after="0"/>
        <w:ind w:left="0"/>
        <w:jc w:val="left"/>
        <w:rPr>
          <w:color w:val="000000"/>
          <w:sz w:val="24"/>
          <w:szCs w:val="24"/>
          <w:highlight w:val="yellow"/>
        </w:rPr>
      </w:pPr>
    </w:p>
    <w:p w:rsidR="00443624" w:rsidRDefault="005545FB">
      <w:pPr>
        <w:pBdr>
          <w:top w:val="nil"/>
          <w:left w:val="nil"/>
          <w:bottom w:val="nil"/>
          <w:right w:val="nil"/>
          <w:between w:val="nil"/>
        </w:pBdr>
        <w:spacing w:after="0"/>
        <w:ind w:left="0"/>
        <w:jc w:val="left"/>
        <w:rPr>
          <w:color w:val="000000"/>
          <w:sz w:val="24"/>
          <w:szCs w:val="24"/>
        </w:rPr>
      </w:pPr>
      <w:r>
        <w:rPr>
          <w:color w:val="000000"/>
          <w:sz w:val="24"/>
          <w:szCs w:val="24"/>
          <w:highlight w:val="yellow"/>
        </w:rPr>
        <w:t>[</w:t>
      </w:r>
      <w:r>
        <w:rPr>
          <w:b/>
          <w:color w:val="000000"/>
          <w:sz w:val="24"/>
          <w:szCs w:val="24"/>
          <w:highlight w:val="yellow"/>
        </w:rPr>
        <w:t>Insert</w:t>
      </w:r>
      <w:r>
        <w:rPr>
          <w:color w:val="000000"/>
          <w:sz w:val="24"/>
          <w:szCs w:val="24"/>
        </w:rPr>
        <w:t xml:space="preserve"> initial Supplier Security Management Plan]</w:t>
      </w:r>
    </w:p>
    <w:p w:rsidR="00443624" w:rsidRDefault="00443624">
      <w:pPr>
        <w:pBdr>
          <w:top w:val="nil"/>
          <w:left w:val="nil"/>
          <w:bottom w:val="nil"/>
          <w:right w:val="nil"/>
          <w:between w:val="nil"/>
        </w:pBdr>
        <w:spacing w:after="0"/>
        <w:ind w:left="0"/>
        <w:jc w:val="left"/>
        <w:rPr>
          <w:color w:val="000000"/>
          <w:sz w:val="24"/>
          <w:szCs w:val="24"/>
        </w:rPr>
      </w:pPr>
    </w:p>
    <w:p w:rsidR="00443624" w:rsidRDefault="005545FB">
      <w:pPr>
        <w:pBdr>
          <w:top w:val="nil"/>
          <w:left w:val="nil"/>
          <w:bottom w:val="nil"/>
          <w:right w:val="nil"/>
          <w:between w:val="nil"/>
        </w:pBdr>
        <w:spacing w:after="0"/>
        <w:ind w:left="0"/>
        <w:jc w:val="left"/>
        <w:rPr>
          <w:color w:val="000000"/>
          <w:sz w:val="24"/>
          <w:szCs w:val="24"/>
        </w:rPr>
      </w:pPr>
      <w:r>
        <w:t xml:space="preserve">     </w:t>
      </w:r>
    </w:p>
    <w:p w:rsidR="00443624" w:rsidRDefault="005545FB">
      <w:pPr>
        <w:pBdr>
          <w:top w:val="nil"/>
          <w:left w:val="nil"/>
          <w:bottom w:val="nil"/>
          <w:right w:val="nil"/>
          <w:between w:val="nil"/>
        </w:pBdr>
        <w:spacing w:after="0"/>
        <w:ind w:left="0"/>
        <w:jc w:val="left"/>
        <w:rPr>
          <w:color w:val="000000"/>
          <w:sz w:val="24"/>
          <w:szCs w:val="24"/>
        </w:rPr>
      </w:pPr>
      <w:r>
        <w:t xml:space="preserve">     </w:t>
      </w:r>
    </w:p>
    <w:sectPr w:rsidR="0044362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B3" w:rsidRDefault="002E56B3">
      <w:pPr>
        <w:spacing w:after="0"/>
      </w:pPr>
      <w:r>
        <w:separator/>
      </w:r>
    </w:p>
  </w:endnote>
  <w:endnote w:type="continuationSeparator" w:id="0">
    <w:p w:rsidR="002E56B3" w:rsidRDefault="002E5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24" w:rsidRDefault="00443624">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24" w:rsidRDefault="005545FB">
    <w:pPr>
      <w:pBdr>
        <w:top w:val="nil"/>
        <w:left w:val="nil"/>
        <w:bottom w:val="nil"/>
        <w:right w:val="nil"/>
        <w:between w:val="nil"/>
      </w:pBdr>
      <w:tabs>
        <w:tab w:val="center" w:pos="4513"/>
        <w:tab w:val="right" w:pos="9026"/>
      </w:tabs>
      <w:spacing w:after="0"/>
      <w:ind w:left="0" w:hanging="1418"/>
      <w:rPr>
        <w:color w:val="000000"/>
        <w:sz w:val="20"/>
        <w:szCs w:val="20"/>
      </w:rPr>
    </w:pPr>
    <w:bookmarkStart w:id="29" w:name="bookmark=id.nmf14n" w:colFirst="0" w:colLast="0"/>
    <w:bookmarkEnd w:id="29"/>
    <w:r>
      <w:t xml:space="preserve">     </w:t>
    </w:r>
  </w:p>
  <w:p w:rsidR="00443624" w:rsidRDefault="005545FB">
    <w:pPr>
      <w:pBdr>
        <w:top w:val="nil"/>
        <w:left w:val="nil"/>
        <w:bottom w:val="nil"/>
        <w:right w:val="nil"/>
        <w:between w:val="nil"/>
      </w:pBdr>
      <w:tabs>
        <w:tab w:val="center" w:pos="4513"/>
        <w:tab w:val="right" w:pos="9026"/>
      </w:tabs>
      <w:spacing w:after="0"/>
      <w:ind w:left="0" w:firstLine="142"/>
      <w:rPr>
        <w:color w:val="000000"/>
        <w:sz w:val="20"/>
        <w:szCs w:val="20"/>
      </w:rPr>
    </w:pPr>
    <w:bookmarkStart w:id="30" w:name="_heading=h.30j0zll" w:colFirst="0" w:colLast="0"/>
    <w:bookmarkEnd w:id="30"/>
    <w:r>
      <w:rPr>
        <w:color w:val="000000"/>
        <w:sz w:val="20"/>
        <w:szCs w:val="20"/>
      </w:rPr>
      <w:t>Framework Ref: RM6342</w:t>
    </w:r>
  </w:p>
  <w:p w:rsidR="00443624" w:rsidRDefault="005545FB">
    <w:pPr>
      <w:pBdr>
        <w:top w:val="nil"/>
        <w:left w:val="nil"/>
        <w:bottom w:val="nil"/>
        <w:right w:val="nil"/>
        <w:between w:val="nil"/>
      </w:pBdr>
      <w:tabs>
        <w:tab w:val="center" w:pos="4513"/>
        <w:tab w:val="right" w:pos="9026"/>
      </w:tabs>
      <w:spacing w:after="0"/>
      <w:ind w:left="0" w:firstLine="142"/>
      <w:jc w:val="left"/>
      <w:rPr>
        <w:color w:val="000000"/>
        <w:sz w:val="20"/>
        <w:szCs w:val="20"/>
      </w:rPr>
    </w:pPr>
    <w:r>
      <w:rPr>
        <w:color w:val="000000"/>
        <w:sz w:val="20"/>
        <w:szCs w:val="20"/>
      </w:rPr>
      <w:t xml:space="preserve">Project Version: </w:t>
    </w:r>
  </w:p>
  <w:p w:rsidR="00443624" w:rsidRDefault="005545FB">
    <w:pPr>
      <w:pBdr>
        <w:top w:val="nil"/>
        <w:left w:val="nil"/>
        <w:bottom w:val="nil"/>
        <w:right w:val="nil"/>
        <w:between w:val="nil"/>
      </w:pBdr>
      <w:tabs>
        <w:tab w:val="center" w:pos="4513"/>
        <w:tab w:val="right" w:pos="9026"/>
      </w:tabs>
      <w:spacing w:after="0"/>
      <w:ind w:left="0" w:firstLine="142"/>
      <w:jc w:val="left"/>
      <w:rPr>
        <w:color w:val="A6A6A6"/>
        <w:sz w:val="20"/>
        <w:szCs w:val="20"/>
      </w:rPr>
    </w:pPr>
    <w:bookmarkStart w:id="31" w:name="_heading=h.37m2jsg" w:colFirst="0" w:colLast="0"/>
    <w:bookmarkEnd w:id="31"/>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B92D74">
      <w:rPr>
        <w:noProof/>
        <w:color w:val="000000"/>
        <w:sz w:val="20"/>
        <w:szCs w:val="20"/>
      </w:rPr>
      <w:t>15</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24" w:rsidRDefault="00443624">
    <w:pPr>
      <w:tabs>
        <w:tab w:val="center" w:pos="4513"/>
        <w:tab w:val="right" w:pos="9026"/>
      </w:tabs>
      <w:spacing w:after="0"/>
      <w:ind w:left="0"/>
      <w:rPr>
        <w:color w:val="A6A6A6"/>
        <w:sz w:val="20"/>
        <w:szCs w:val="20"/>
      </w:rPr>
    </w:pPr>
  </w:p>
  <w:p w:rsidR="00443624" w:rsidRDefault="005545F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rsidR="00443624" w:rsidRDefault="005545F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rsidR="00443624" w:rsidRDefault="005545F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B3" w:rsidRDefault="002E56B3">
      <w:pPr>
        <w:spacing w:after="0"/>
      </w:pPr>
      <w:r>
        <w:separator/>
      </w:r>
    </w:p>
  </w:footnote>
  <w:footnote w:type="continuationSeparator" w:id="0">
    <w:p w:rsidR="002E56B3" w:rsidRDefault="002E5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24" w:rsidRDefault="00443624">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24" w:rsidRDefault="005545FB">
    <w:pPr>
      <w:tabs>
        <w:tab w:val="center" w:pos="4513"/>
        <w:tab w:val="right" w:pos="9026"/>
      </w:tabs>
      <w:spacing w:after="0"/>
      <w:ind w:left="0"/>
      <w:rPr>
        <w:b/>
        <w:sz w:val="20"/>
        <w:szCs w:val="20"/>
      </w:rPr>
    </w:pPr>
    <w:r>
      <w:rPr>
        <w:b/>
        <w:sz w:val="20"/>
        <w:szCs w:val="20"/>
      </w:rPr>
      <w:t>Call-Off Schedule 9A (Security)</w:t>
    </w:r>
  </w:p>
  <w:p w:rsidR="00443624" w:rsidRDefault="005545FB">
    <w:pPr>
      <w:tabs>
        <w:tab w:val="center" w:pos="4513"/>
        <w:tab w:val="right" w:pos="9026"/>
      </w:tabs>
      <w:spacing w:after="0"/>
      <w:ind w:left="0"/>
      <w:rPr>
        <w:sz w:val="20"/>
        <w:szCs w:val="20"/>
      </w:rPr>
    </w:pPr>
    <w:r>
      <w:rPr>
        <w:sz w:val="20"/>
        <w:szCs w:val="20"/>
      </w:rPr>
      <w:t>Call-Off Ref:</w:t>
    </w:r>
  </w:p>
  <w:p w:rsidR="00443624" w:rsidRDefault="005545FB">
    <w:pPr>
      <w:tabs>
        <w:tab w:val="center" w:pos="4513"/>
        <w:tab w:val="right" w:pos="9026"/>
      </w:tabs>
      <w:spacing w:after="0"/>
      <w:ind w:left="0"/>
      <w:rPr>
        <w:sz w:val="20"/>
        <w:szCs w:val="20"/>
      </w:rPr>
    </w:pPr>
    <w:r>
      <w:rPr>
        <w:sz w:val="20"/>
        <w:szCs w:val="20"/>
      </w:rPr>
      <w:t>Crown Copyright 2018</w:t>
    </w:r>
  </w:p>
  <w:p w:rsidR="00443624" w:rsidRDefault="00443624">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24" w:rsidRDefault="00443624">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31D6E"/>
    <w:multiLevelType w:val="multilevel"/>
    <w:tmpl w:val="9D9CFAC8"/>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3E6D1FF4"/>
    <w:multiLevelType w:val="multilevel"/>
    <w:tmpl w:val="0734D88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5782308"/>
    <w:multiLevelType w:val="multilevel"/>
    <w:tmpl w:val="585C5E90"/>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6B7D5E0E"/>
    <w:multiLevelType w:val="multilevel"/>
    <w:tmpl w:val="248C950E"/>
    <w:lvl w:ilvl="0">
      <w:start w:val="1"/>
      <w:numFmt w:val="decimal"/>
      <w:pStyle w:val="Heading1"/>
      <w:lvlText w:val="%1."/>
      <w:lvlJc w:val="left"/>
      <w:pPr>
        <w:ind w:left="360" w:hanging="360"/>
      </w:pPr>
      <w:rPr>
        <w:smallCaps w:val="0"/>
        <w:strike w:val="0"/>
        <w:color w:val="000000"/>
        <w:u w:val="none"/>
        <w:vertAlign w:val="baseline"/>
      </w:rPr>
    </w:lvl>
    <w:lvl w:ilvl="1">
      <w:start w:val="1"/>
      <w:numFmt w:val="decimal"/>
      <w:pStyle w:val="Heading2"/>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Heading3"/>
      <w:lvlText w:val="%1.%2.%3"/>
      <w:lvlJc w:val="left"/>
      <w:pPr>
        <w:ind w:left="436" w:hanging="720"/>
      </w:pPr>
      <w:rPr>
        <w:b w:val="0"/>
        <w:i w:val="0"/>
        <w:smallCaps w:val="0"/>
        <w:strike w:val="0"/>
        <w:color w:val="000000"/>
        <w:u w:val="none"/>
        <w:vertAlign w:val="baseline"/>
      </w:rPr>
    </w:lvl>
    <w:lvl w:ilvl="3">
      <w:start w:val="1"/>
      <w:numFmt w:val="lowerLetter"/>
      <w:pStyle w:val="Heading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Heading5"/>
      <w:lvlText w:val="(%5)"/>
      <w:lvlJc w:val="left"/>
      <w:pPr>
        <w:ind w:left="3065" w:hanging="1080"/>
      </w:pPr>
      <w:rPr>
        <w:b w:val="0"/>
        <w:i w:val="0"/>
        <w:smallCaps w:val="0"/>
        <w:strike w:val="0"/>
        <w:color w:val="000000"/>
        <w:u w:val="none"/>
        <w:vertAlign w:val="baseline"/>
      </w:rPr>
    </w:lvl>
    <w:lvl w:ilvl="5">
      <w:start w:val="1"/>
      <w:numFmt w:val="upperLetter"/>
      <w:pStyle w:val="Heading6"/>
      <w:lvlText w:val="(%6)"/>
      <w:lvlJc w:val="left"/>
      <w:pPr>
        <w:ind w:left="1156" w:hanging="1080"/>
      </w:pPr>
      <w:rPr>
        <w:b w:val="0"/>
        <w:i w:val="0"/>
        <w:smallCaps w:val="0"/>
        <w:strike w:val="0"/>
        <w:color w:val="000000"/>
        <w:u w:val="none"/>
        <w:vertAlign w:val="baseline"/>
      </w:rPr>
    </w:lvl>
    <w:lvl w:ilvl="6">
      <w:start w:val="1"/>
      <w:numFmt w:val="decimal"/>
      <w:pStyle w:val="Heading7"/>
      <w:lvlText w:val="%1.%2.%3.%4.%5.%6.%7"/>
      <w:lvlJc w:val="left"/>
      <w:pPr>
        <w:ind w:left="1516" w:hanging="1440"/>
      </w:pPr>
    </w:lvl>
    <w:lvl w:ilvl="7">
      <w:start w:val="1"/>
      <w:numFmt w:val="decimal"/>
      <w:pStyle w:val="Heading8"/>
      <w:lvlText w:val="%1.%2.%3.%4.%5.%6.%7.%8"/>
      <w:lvlJc w:val="left"/>
      <w:pPr>
        <w:ind w:left="1516" w:hanging="1440"/>
      </w:pPr>
    </w:lvl>
    <w:lvl w:ilvl="8">
      <w:start w:val="1"/>
      <w:numFmt w:val="decimal"/>
      <w:pStyle w:val="Heading9"/>
      <w:lvlText w:val="%1.%2.%3.%4.%5.%6.%7.%8.%9"/>
      <w:lvlJc w:val="left"/>
      <w:pPr>
        <w:ind w:left="1876" w:hanging="1800"/>
      </w:pPr>
    </w:lvl>
  </w:abstractNum>
  <w:abstractNum w:abstractNumId="4" w15:restartNumberingAfterBreak="0">
    <w:nsid w:val="72DE0A82"/>
    <w:multiLevelType w:val="multilevel"/>
    <w:tmpl w:val="79E0F910"/>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24"/>
    <w:rsid w:val="002E56B3"/>
    <w:rsid w:val="00443624"/>
    <w:rsid w:val="00457825"/>
    <w:rsid w:val="005545FB"/>
    <w:rsid w:val="00B92D74"/>
    <w:rsid w:val="00DB3359"/>
    <w:rsid w:val="00FC5EDB"/>
    <w:rsid w:val="00FE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BCA3"/>
  <w15:docId w15:val="{1DB57B31-D74F-456A-A9CB-C80F7CFD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3">
    <w:name w:val="3"/>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2">
    <w:name w:val="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1">
    <w:name w:val="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m/search?q=https://www.ncsc.gov.uk/collection/cyber-assessment-framework-ca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yI2DpnDvm1q1mQtP/Yn+x9REQ==">CgMxLjAyCWguM3RidWdwMTIKaWQuMzBqMHpsbD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mlkLjN0YnVncDEyCWguMTljNnkxODIJaC4yOGg0cXd1MglpZC5ubWYxNG4yCWguMzBqMHpsbDIJaC4zN20yanNnOABqIwoUc3VnZ2VzdC52bHFqaDZtZ3R0ejISC1NhbCBUZW1wZXJhaiMKFHN1Z2dlc3QuZThrYTdxeG80dGxnEgtTYWwgVGVtcGVyYWpECjVzdWdnZXN0SWRJbXBvcnQwN2I0YTZlMy1mYjEzLTRhYzItODAyZi0zNmI5MjU5ZjY3NWRfMRILU2FsIFRlbXBlcmFyITE0Z3VBZEJvcWJDc1VHeElGd0t0ZU9CNXM0Z0VPeVlG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5243</Words>
  <Characters>29888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Tina Cameron</cp:lastModifiedBy>
  <cp:revision>3</cp:revision>
  <dcterms:created xsi:type="dcterms:W3CDTF">2025-11-25T09:32:00Z</dcterms:created>
  <dcterms:modified xsi:type="dcterms:W3CDTF">2025-11-25T09:35:00Z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