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center" w:leader="none" w:pos="4513"/>
          <w:tab w:val="right" w:leader="none" w:pos="9026"/>
        </w:tabs>
        <w:spacing w:after="0" w:before="0" w:line="240" w:lineRule="auto"/>
        <w:ind w:left="0" w:right="0"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center" w:leader="none" w:pos="4513"/>
          <w:tab w:val="right" w:leader="none" w:pos="9026"/>
        </w:tabs>
        <w:spacing w:after="0" w:before="0" w:line="240" w:lineRule="auto"/>
        <w:ind w:left="0" w:right="0"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6 (ICT Services)</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201.0" w:type="dxa"/>
        <w:jc w:val="left"/>
        <w:tblInd w:w="713.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741"/>
        <w:gridCol w:w="5460"/>
        <w:tblGridChange w:id="0">
          <w:tblGrid>
            <w:gridCol w:w="2741"/>
            <w:gridCol w:w="5460"/>
          </w:tblGrid>
        </w:tblGridChange>
      </w:tblGrid>
      <w:tr>
        <w:trPr>
          <w:cantSplit w:val="0"/>
          <w:tblHeader w:val="0"/>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Property" </w:t>
            </w:r>
          </w:p>
        </w:tc>
        <w:tc>
          <w:tcPr>
            <w:shd w:fill="auto" w:val="clea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property, other than real property and IPR, including the Buyer System, any equipment issued or made available to the Supplier by the Buyer in connection with this Contract;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Software"</w:t>
            </w:r>
          </w:p>
        </w:tc>
        <w:tc>
          <w:tcPr>
            <w:shd w:fill="auto" w:val="clea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which is owned by or licensed to the Buyer and which is or will be used by the Supplier for the purposes of providing the Deliverables;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System"</w:t>
            </w:r>
          </w:p>
        </w:tc>
        <w:tc>
          <w:tcPr>
            <w:shd w:fill="auto" w:val="clea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“Commercial off the shelf Software” or “COTS Software”</w:t>
            </w:r>
          </w:p>
        </w:tc>
        <w:tc>
          <w:tcPr>
            <w:shd w:fill="auto" w:val="clear"/>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"Defect"</w:t>
            </w:r>
          </w:p>
        </w:tc>
        <w:tc>
          <w:tcPr>
            <w:shd w:fill="auto" w:val="clea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 </w:t>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damage or defect in the manufacturing of a Deliverable; or</w:t>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or failure of code within the Software which causes a Deliverable to malfunction or to produce unintelligible or incorrect results; or</w:t>
            </w:r>
          </w:p>
        </w:tc>
      </w:tr>
      <w:tr>
        <w:trPr>
          <w:cantSplit w:val="0"/>
          <w:tblHeader w:val="0"/>
        </w:trPr>
        <w:tc>
          <w:tcPr>
            <w:shd w:fill="auto" w:val="clea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13">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Call Off Contract; or</w:t>
            </w:r>
          </w:p>
          <w:p w:rsidR="00000000" w:rsidDel="00000000" w:rsidP="00000000" w:rsidRDefault="00000000" w:rsidRPr="00000000" w14:paraId="00000014">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trPr>
          <w:cantSplit w:val="0"/>
          <w:tblHeader w:val="0"/>
        </w:trPr>
        <w:tc>
          <w:tcPr>
            <w:shd w:fill="auto" w:val="clea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"Emergency Maintenance"</w:t>
            </w:r>
          </w:p>
        </w:tc>
        <w:tc>
          <w:tcPr>
            <w:shd w:fill="auto"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shd w:fill="auto" w:val="clea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Environment"</w:t>
            </w:r>
          </w:p>
        </w:tc>
        <w:tc>
          <w:tcPr>
            <w:shd w:fill="auto" w:val="clea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System and the Supplier System;</w:t>
            </w:r>
          </w:p>
        </w:tc>
      </w:tr>
      <w:tr>
        <w:trPr>
          <w:cantSplit w:val="0"/>
          <w:tblHeader w:val="0"/>
        </w:trPr>
        <w:tc>
          <w:tcPr>
            <w:shd w:fill="auto" w:val="clea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w:t>
            </w:r>
          </w:p>
        </w:tc>
        <w:tc>
          <w:tcPr>
            <w:shd w:fill="auto" w:val="clea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and any Software licensed by or through the Supplier, its Sub-Contractors or any third party to the Buyer for the purposes of or pursuant to this Call Off Contract, including any COTS Software;</w:t>
            </w:r>
          </w:p>
        </w:tc>
      </w:tr>
      <w:tr>
        <w:trPr>
          <w:cantSplit w:val="0"/>
          <w:tblHeader w:val="0"/>
        </w:trPr>
        <w:tc>
          <w:tcPr>
            <w:shd w:fill="auto" w:val="clea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p>
        </w:tc>
        <w:tc>
          <w:tcPr>
            <w:shd w:fill="auto"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 of this Schedule;</w:t>
            </w:r>
          </w:p>
        </w:tc>
      </w:tr>
      <w:tr>
        <w:trPr>
          <w:cantSplit w:val="0"/>
          <w:tblHeader w:val="0"/>
        </w:trPr>
        <w:tc>
          <w:tcPr>
            <w:shd w:fill="auto"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tc>
        <w:tc>
          <w:tcPr>
            <w:shd w:fill="auto"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shd w:fill="auto"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Release"</w:t>
            </w:r>
          </w:p>
        </w:tc>
        <w:tc>
          <w:tcPr>
            <w:shd w:fill="auto"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shd w:fill="auto"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Software"</w:t>
            </w:r>
          </w:p>
        </w:tc>
        <w:tc>
          <w:tcPr>
            <w:shd w:fill="auto"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software that has its source code made available subject to an open-source licence under which the owner of the copyright and other IPR in such software provides the rights to use, study, change and distribute the software to any and all persons and for any and all purposes free of charge;</w:t>
            </w:r>
          </w:p>
        </w:tc>
      </w:tr>
      <w:tr>
        <w:trPr>
          <w:cantSplit w:val="0"/>
          <w:tblHeader w:val="0"/>
        </w:trPr>
        <w:tc>
          <w:tcPr>
            <w:shd w:fill="auto"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Environment"</w:t>
            </w:r>
          </w:p>
        </w:tc>
        <w:tc>
          <w:tcPr>
            <w:shd w:fill="auto"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Buyer System and any premises (including the Buyer Premises, the Supplier’s premises or third party premises) from, to or at which:</w:t>
            </w:r>
          </w:p>
          <w:p w:rsidR="00000000" w:rsidDel="00000000" w:rsidP="00000000" w:rsidRDefault="00000000" w:rsidRPr="00000000" w14:paraId="00000025">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are (or are to be) provided; or </w:t>
            </w:r>
          </w:p>
          <w:p w:rsidR="00000000" w:rsidDel="00000000" w:rsidP="00000000" w:rsidRDefault="00000000" w:rsidRPr="00000000" w14:paraId="0000002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manages, organises or otherwise directs the provision or the use of the Deliverables; or</w:t>
            </w:r>
          </w:p>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part of the Supplier System is situated;</w:t>
            </w:r>
          </w:p>
        </w:tc>
      </w:tr>
      <w:tr>
        <w:trPr>
          <w:cantSplit w:val="0"/>
          <w:tblHeader w:val="0"/>
        </w:trPr>
        <w:tc>
          <w:tcPr>
            <w:shd w:fill="auto" w:val="clea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p>
        </w:tc>
        <w:tc>
          <w:tcPr>
            <w:shd w:fill="auto" w:val="clea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 of this Schedule;</w:t>
            </w:r>
          </w:p>
        </w:tc>
      </w:tr>
      <w:tr>
        <w:trPr>
          <w:cantSplit w:val="0"/>
          <w:tblHeader w:val="0"/>
        </w:trPr>
        <w:tc>
          <w:tcPr>
            <w:shd w:fill="auto" w:val="cle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p>
        </w:tc>
        <w:tc>
          <w:tcPr>
            <w:shd w:fill="auto" w:val="clea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6.1 of this Schedule;</w:t>
            </w:r>
          </w:p>
        </w:tc>
      </w:tr>
      <w:tr>
        <w:trPr>
          <w:cantSplit w:val="0"/>
          <w:tblHeader w:val="0"/>
        </w:trPr>
        <w:tc>
          <w:tcPr>
            <w:shd w:fill="auto" w:val="clea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"Sites"</w:t>
            </w:r>
          </w:p>
        </w:tc>
        <w:tc>
          <w:tcPr>
            <w:shd w:fill="auto" w:val="clea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Joint Schedule 1(Definitions), and for the purposes of this Call Off Schedule shall also include any premises from, to or at which physical interface with the Buyer System takes place;</w:t>
            </w:r>
          </w:p>
        </w:tc>
      </w:tr>
      <w:tr>
        <w:trPr>
          <w:cantSplit w:val="0"/>
          <w:tblHeader w:val="0"/>
        </w:trPr>
        <w:tc>
          <w:tcPr>
            <w:shd w:fill="auto" w:val="clea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w:t>
            </w:r>
          </w:p>
        </w:tc>
        <w:tc>
          <w:tcPr>
            <w:shd w:fill="auto" w:val="clea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Specially Written Software COTS Software and non-COTS Supplier and third party Software;</w:t>
            </w:r>
          </w:p>
        </w:tc>
      </w:tr>
      <w:tr>
        <w:trPr>
          <w:cantSplit w:val="0"/>
          <w:tblHeader w:val="0"/>
        </w:trPr>
        <w:tc>
          <w:tcPr>
            <w:shd w:fill="auto" w:val="clea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p>
        </w:tc>
        <w:tc>
          <w:tcPr>
            <w:shd w:fill="auto" w:val="clea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9.1 of this Schedule;</w:t>
            </w:r>
          </w:p>
        </w:tc>
      </w:tr>
      <w:tr>
        <w:trPr>
          <w:cantSplit w:val="0"/>
          <w:tblHeader w:val="0"/>
        </w:trPr>
        <w:tc>
          <w:tcPr>
            <w:shd w:fill="auto" w:val="clea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p>
        </w:tc>
        <w:tc>
          <w:tcPr>
            <w:shd w:fill="auto" w:val="clea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shd w:fill="auto" w:val="clea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w:t>
            </w:r>
          </w:p>
        </w:tc>
        <w:tc>
          <w:tcPr>
            <w:shd w:fill="auto" w:val="clea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avoidance of doubt Specially Written Software does not constitute New IPR;</w:t>
            </w:r>
          </w:p>
        </w:tc>
      </w:tr>
      <w:tr>
        <w:trPr>
          <w:cantSplit w:val="0"/>
          <w:tblHeader w:val="0"/>
        </w:trPr>
        <w:tc>
          <w:tcPr>
            <w:shd w:fill="auto" w:val="clea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System"</w:t>
            </w:r>
          </w:p>
        </w:tc>
        <w:tc>
          <w:tcPr>
            <w:shd w:fill="auto" w:val="clea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r>
        <w:trPr>
          <w:cantSplit w:val="0"/>
          <w:tblHeader w:val="0"/>
        </w:trPr>
        <w:tc>
          <w:tcPr>
            <w:shd w:fill="auto" w:val="clea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hen this Schedule should be used</w:t>
      </w:r>
      <w:r w:rsidDel="00000000" w:rsidR="00000000" w:rsidRPr="00000000">
        <w:rPr>
          <w:rtl w:val="0"/>
        </w:rPr>
      </w:r>
    </w:p>
    <w:p w:rsidR="00000000" w:rsidDel="00000000" w:rsidP="00000000" w:rsidRDefault="00000000" w:rsidRPr="00000000" w14:paraId="0000003D">
      <w:pPr>
        <w:keepNext w:val="1"/>
        <w:keepLines w:val="1"/>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686"/>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due diligence requirements </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686"/>
          <w:tab w:val="left" w:leader="none" w:pos="142"/>
        </w:tabs>
        <w:spacing w:after="240" w:before="120" w:line="240" w:lineRule="auto"/>
        <w:ind w:left="936" w:right="0" w:hanging="576"/>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satisfy itself of all relevant details, including but not limited to, details relating to the following;</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suitability of the existing and (to the extent that it is defined or reasonably foreseeable at the Start Date) future Operating Environment; </w:t>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operating processes and procedures and the working methods of the Buyer; </w:t>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ownership, functionality, capacity, condition and suitability for use in the provision of the Deliverables of the Buyer Assets; and</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confirms that it has advised the Buyer in writing of:</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aspect, if any, of the Operating Environment that is not suitable for the provision of the ICT Services;</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actions needed to remedy each such unsuitable aspect; and</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timetable for and the costs of those actions.</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 warranty</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represents and warrants that:</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rsidR="00000000" w:rsidDel="00000000" w:rsidP="00000000" w:rsidRDefault="00000000" w:rsidRPr="00000000" w14:paraId="0000004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components of the Specially Written Software shall:</w:t>
      </w:r>
    </w:p>
    <w:p w:rsidR="00000000" w:rsidDel="00000000" w:rsidP="00000000" w:rsidRDefault="00000000" w:rsidRPr="00000000" w14:paraId="000000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free from material design and programming errors;</w:t>
      </w:r>
    </w:p>
    <w:p w:rsidR="00000000" w:rsidDel="00000000" w:rsidP="00000000" w:rsidRDefault="00000000" w:rsidRPr="00000000" w14:paraId="000000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in all material respects in accordance with the relevant specifications contained in Call Off Schedule 14 (Service Levels) and Documentation; and</w:t>
      </w:r>
    </w:p>
    <w:p w:rsidR="00000000" w:rsidDel="00000000" w:rsidP="00000000" w:rsidRDefault="00000000" w:rsidRPr="00000000" w14:paraId="000000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infringe any IPR.</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ICT Services</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5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5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Supplier System will be free of all encumbrances;</w:t>
      </w:r>
    </w:p>
    <w:p w:rsidR="00000000" w:rsidDel="00000000" w:rsidP="00000000" w:rsidRDefault="00000000" w:rsidRPr="00000000" w14:paraId="0000005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Deliverables are fully compatible with any Buyer Software, Buyer System, or otherwise used by the Supplier in connection with this Contract;</w:t>
      </w:r>
    </w:p>
    <w:p w:rsidR="00000000" w:rsidDel="00000000" w:rsidP="00000000" w:rsidRDefault="00000000" w:rsidRPr="00000000" w14:paraId="0000005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any disruption to the Services and the ICT Environment  and/or the Buyer's operations when providing the Deliverables;</w:t>
      </w:r>
    </w:p>
    <w:p w:rsidR="00000000" w:rsidDel="00000000" w:rsidP="00000000" w:rsidRDefault="00000000" w:rsidRPr="00000000" w14:paraId="0000005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Standards and Quality Requirements</w:t>
      </w:r>
    </w:p>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the approval of the Quality Plans, the Supplier shall provide all Deliverables in accordance with the Quality Plans.</w:t>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Supplier Personnel shall at all times during the Call Off Contract Period:</w:t>
      </w:r>
    </w:p>
    <w:p w:rsidR="00000000" w:rsidDel="00000000" w:rsidP="00000000" w:rsidRDefault="00000000" w:rsidRPr="00000000" w14:paraId="000000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appropriately experienced, qualified and trained to supply the Deliverables in accordance with this Contract;</w:t>
      </w:r>
    </w:p>
    <w:p w:rsidR="00000000" w:rsidDel="00000000" w:rsidP="00000000" w:rsidRDefault="00000000" w:rsidRPr="00000000" w14:paraId="0000005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5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Audit</w:t>
      </w:r>
    </w:p>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allow any auditor access to the Supplier premises to:</w:t>
      </w:r>
    </w:p>
    <w:p w:rsidR="00000000" w:rsidDel="00000000" w:rsidP="00000000" w:rsidRDefault="00000000" w:rsidRPr="00000000" w14:paraId="0000006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ICT Environment and the wider service delivery environment (or any part of them);</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any records created during the design and development of the Supplier System and pre-operational environment such as information relating to Testing;</w:t>
      </w:r>
    </w:p>
    <w:p w:rsidR="00000000" w:rsidDel="00000000" w:rsidP="00000000" w:rsidRDefault="00000000" w:rsidRPr="00000000" w14:paraId="0000006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Supplier’s quality management systems including all relevant Quality Plans.</w:t>
      </w:r>
    </w:p>
    <w:p w:rsidR="00000000" w:rsidDel="00000000" w:rsidP="00000000" w:rsidRDefault="00000000" w:rsidRPr="00000000" w14:paraId="0000006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of the ICT Environment</w:t>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specified by the Buyer in the Order Form, the Supplier shall create and maintain a rolling schedule of planned maintenance to the ICT Environment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make it available to the Buyer for Approval in accordance with the timetable and instructions specified by the Buyer.</w:t>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Maintenance Schedule has been Approved, the Supplier shall only undertake such planned maintenance (which shall be known 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Maintenance Schedule.</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as much notice as is reasonably practicable to the Buyer prior to carrying out any Emergency Maintenance.</w:t>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6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Intellectual Property Rights in ICT</w:t>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Assignments granted by the Supplier: Specially Written Software </w:t>
      </w:r>
    </w:p>
    <w:p w:rsidR="00000000" w:rsidDel="00000000" w:rsidP="00000000" w:rsidRDefault="00000000" w:rsidRPr="00000000" w14:paraId="000000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rsidR="00000000" w:rsidDel="00000000" w:rsidP="00000000" w:rsidRDefault="00000000" w:rsidRPr="00000000" w14:paraId="000000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0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0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0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07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execute all such assignments as are required to ensure that any rights in the Specially Written Software and New IPRs are properly transferred to the Buyer.</w:t>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Licences for non-COTS IPR from the Supplier and third parties to the Buyer</w:t>
      </w:r>
    </w:p>
    <w:p w:rsidR="00000000" w:rsidDel="00000000" w:rsidP="00000000" w:rsidRDefault="00000000" w:rsidRPr="00000000" w14:paraId="000000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gives its Approval the Supplier must not use any:</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its own Existing IPR that is not COTS Software;</w:t>
      </w:r>
    </w:p>
    <w:p w:rsidR="00000000" w:rsidDel="00000000" w:rsidP="00000000" w:rsidRDefault="00000000" w:rsidRPr="00000000" w14:paraId="000000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software that is not COTS Software</w:t>
      </w:r>
    </w:p>
    <w:p w:rsidR="00000000" w:rsidDel="00000000" w:rsidP="00000000" w:rsidRDefault="00000000" w:rsidRPr="00000000" w14:paraId="0000007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Call Off Contract Period and after expiry of the Contract to the extent necessary to ensure continuity of service and an effective transition of Services to a Replacement Supplier.</w:t>
      </w:r>
    </w:p>
    <w:p w:rsidR="00000000" w:rsidDel="00000000" w:rsidP="00000000" w:rsidRDefault="00000000" w:rsidRPr="00000000" w14:paraId="0000007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rsidR="00000000" w:rsidDel="00000000" w:rsidP="00000000" w:rsidRDefault="00000000" w:rsidRPr="00000000" w14:paraId="000000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0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as referred to at paragraph 9.2.3.1 if the Buyer Approves the terms of the licence from the relevant third party.</w:t>
      </w:r>
    </w:p>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license to the Supplier’s Existing IPR in accordance with Paragraph 9.2.2 above, it must meet the requirement by making use of COTS Software or Specially Written Software.  </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Licenses for COTS Software by the Supplier and third parties to the Buyer</w:t>
      </w:r>
    </w:p>
    <w:p w:rsidR="00000000" w:rsidDel="00000000" w:rsidP="00000000" w:rsidRDefault="00000000" w:rsidRPr="00000000" w14:paraId="0000007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rsidR="00000000" w:rsidDel="00000000" w:rsidP="00000000" w:rsidRDefault="00000000" w:rsidRPr="00000000" w14:paraId="0000007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p>
    <w:p w:rsidR="00000000" w:rsidDel="00000000" w:rsidP="00000000" w:rsidRDefault="00000000" w:rsidRPr="00000000" w14:paraId="0000007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third party is the owner of COTS Software licensed in accordance with this Paragraph 9.3 the Supplier shall support the Replacement Supplier to make arrangements with the owner or authorised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licencee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renew the license at a price and on terms no less favourable than those standard commercial terms on which such software is usually made commercially available.</w:t>
      </w:r>
    </w:p>
    <w:p w:rsidR="00000000" w:rsidDel="00000000" w:rsidP="00000000" w:rsidRDefault="00000000" w:rsidRPr="00000000" w14:paraId="0000008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within seven (7) days of becoming aware of any COTS Software which in the next thirty-six (36) months:</w:t>
      </w:r>
    </w:p>
    <w:p w:rsidR="00000000" w:rsidDel="00000000" w:rsidP="00000000" w:rsidRDefault="00000000" w:rsidRPr="00000000" w14:paraId="000000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maintained or supported by the developer; or</w:t>
      </w:r>
    </w:p>
    <w:p w:rsidR="00000000" w:rsidDel="00000000" w:rsidP="00000000" w:rsidRDefault="00000000" w:rsidRPr="00000000" w14:paraId="000000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made commercially available</w:t>
      </w:r>
    </w:p>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assign/novate licences</w:t>
      </w:r>
    </w:p>
    <w:p w:rsidR="00000000" w:rsidDel="00000000" w:rsidP="00000000" w:rsidRDefault="00000000" w:rsidRPr="00000000" w14:paraId="0000008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assign, novate or otherwise transfer its rights and obligations under the licences granted pursuant to paragraph 9.2 (to:</w:t>
      </w:r>
    </w:p>
    <w:p w:rsidR="00000000" w:rsidDel="00000000" w:rsidP="00000000" w:rsidRDefault="00000000" w:rsidRPr="00000000" w14:paraId="000000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Central Government Body; or</w:t>
      </w:r>
    </w:p>
    <w:p w:rsidR="00000000" w:rsidDel="00000000" w:rsidP="00000000" w:rsidRDefault="00000000" w:rsidRPr="00000000" w14:paraId="000000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08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ceases to be a Central Government Body, the successor body to the Buyer shall still be entitled to the benefit of the licences granted in paragraph 9.2.</w:t>
      </w:r>
    </w:p>
    <w:p w:rsidR="00000000" w:rsidDel="00000000" w:rsidP="00000000" w:rsidRDefault="00000000" w:rsidRPr="00000000" w14:paraId="000000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Buyer</w:t>
      </w:r>
    </w:p>
    <w:p w:rsidR="00000000" w:rsidDel="00000000" w:rsidP="00000000" w:rsidRDefault="00000000" w:rsidRPr="00000000" w14:paraId="0000008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15 (Confidentiality).</w:t>
      </w:r>
    </w:p>
    <w:p w:rsidR="00000000" w:rsidDel="00000000" w:rsidP="00000000" w:rsidRDefault="00000000" w:rsidRPr="00000000" w14:paraId="0000008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Publication</w:t>
      </w:r>
    </w:p>
    <w:p w:rsidR="00000000" w:rsidDel="00000000" w:rsidP="00000000" w:rsidRDefault="00000000" w:rsidRPr="00000000" w14:paraId="0000008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rsidR="00000000" w:rsidDel="00000000" w:rsidP="00000000" w:rsidRDefault="00000000" w:rsidRPr="00000000" w14:paraId="000000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suitable for publication by the Buyer as Open Source; and </w:t>
      </w:r>
    </w:p>
    <w:p w:rsidR="00000000" w:rsidDel="00000000" w:rsidP="00000000" w:rsidRDefault="00000000" w:rsidRPr="00000000" w14:paraId="000000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Open Standards (where applicable),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Buyer may, at its sole discretion, publish the same as Open Source.</w:t>
      </w:r>
    </w:p>
    <w:p w:rsidR="00000000" w:rsidDel="00000000" w:rsidP="00000000" w:rsidRDefault="00000000" w:rsidRPr="00000000" w14:paraId="0000008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warrants that the Specially Written Software and the New IPR:</w:t>
      </w:r>
    </w:p>
    <w:p w:rsidR="00000000" w:rsidDel="00000000" w:rsidP="00000000" w:rsidRDefault="00000000" w:rsidRPr="00000000" w14:paraId="000000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rsidR="00000000" w:rsidDel="00000000" w:rsidP="00000000" w:rsidRDefault="00000000" w:rsidRPr="00000000" w14:paraId="000000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0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material which would bring the Buyer into disrepute;</w:t>
      </w:r>
    </w:p>
    <w:p w:rsidR="00000000" w:rsidDel="00000000" w:rsidP="00000000" w:rsidRDefault="00000000" w:rsidRPr="00000000" w14:paraId="000000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 be published as Open Source without breaching the rights of any third party; </w:t>
      </w:r>
    </w:p>
    <w:p w:rsidR="00000000" w:rsidDel="00000000" w:rsidP="00000000" w:rsidRDefault="00000000" w:rsidRPr="00000000" w14:paraId="000000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supplied in a format suitable for publication as Open Source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Open Source Publication 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later than the date notified by the Buyer to the Supplier; and</w:t>
      </w:r>
    </w:p>
    <w:p w:rsidR="00000000" w:rsidDel="00000000" w:rsidP="00000000" w:rsidRDefault="00000000" w:rsidRPr="00000000" w14:paraId="000000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Malicious Software.</w:t>
      </w:r>
    </w:p>
    <w:p w:rsidR="00000000" w:rsidDel="00000000" w:rsidP="00000000" w:rsidRDefault="00000000" w:rsidRPr="00000000" w14:paraId="0000009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rsidR="00000000" w:rsidDel="00000000" w:rsidP="00000000" w:rsidRDefault="00000000" w:rsidRPr="00000000" w14:paraId="000000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0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rsidR="00000000" w:rsidDel="00000000" w:rsidP="00000000" w:rsidRDefault="00000000" w:rsidRPr="00000000" w14:paraId="0000009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09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throughout the Contract Period, use the latest versions of anti-virus definitions and software available from an industry accepted anti-virus software vendor to check for, contain the spread of, and minimise the impact of Malicious Software.</w:t>
      </w:r>
    </w:p>
    <w:p w:rsidR="00000000" w:rsidDel="00000000" w:rsidP="00000000" w:rsidRDefault="00000000" w:rsidRPr="00000000" w14:paraId="0000009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rsidR="00000000" w:rsidDel="00000000" w:rsidP="00000000" w:rsidRDefault="00000000" w:rsidRPr="00000000" w14:paraId="0000009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cost arising out of the actions of the Parties taken in compliance with the provisions of paragraph 9.7.2 shall be borne by the Parties as follows:</w:t>
      </w:r>
    </w:p>
    <w:p w:rsidR="00000000" w:rsidDel="00000000" w:rsidP="00000000" w:rsidRDefault="00000000" w:rsidRPr="00000000" w14:paraId="000000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rsidR="00000000" w:rsidDel="00000000" w:rsidP="00000000" w:rsidRDefault="00000000" w:rsidRPr="00000000" w14:paraId="000000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Buyer, if the Malicious Software originates from the Buyer Software or the Buyer Data (whilst the Buyer Data was under the control of the Buyer).</w:t>
      </w:r>
    </w:p>
    <w:p w:rsidR="00000000" w:rsidDel="00000000" w:rsidP="00000000" w:rsidRDefault="00000000" w:rsidRPr="00000000" w14:paraId="000000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[Supplier-Furnished Terms</w:t>
      </w:r>
    </w:p>
    <w:p w:rsidR="00000000" w:rsidDel="00000000" w:rsidP="00000000" w:rsidRDefault="00000000" w:rsidRPr="00000000" w14:paraId="000000A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Software Licence Terms</w:t>
      </w:r>
    </w:p>
    <w:p w:rsidR="00000000" w:rsidDel="00000000" w:rsidP="00000000" w:rsidRDefault="00000000" w:rsidRPr="00000000" w14:paraId="000000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non-COTS third party software in accordance with Paragraph 9.2.3 are detailed in [insert reference to relevant Schedule].</w:t>
      </w:r>
    </w:p>
    <w:p w:rsidR="00000000" w:rsidDel="00000000" w:rsidP="00000000" w:rsidRDefault="00000000" w:rsidRPr="00000000" w14:paraId="000000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COTS software in accordance with Paragraph 9.3 are detailed in [insert reference to relevant Schedule].</w:t>
      </w:r>
    </w:p>
    <w:p w:rsidR="00000000" w:rsidDel="00000000" w:rsidP="00000000" w:rsidRDefault="00000000" w:rsidRPr="00000000" w14:paraId="000000A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as a Service Terms</w:t>
      </w:r>
    </w:p>
    <w:p w:rsidR="00000000" w:rsidDel="00000000" w:rsidP="00000000" w:rsidRDefault="00000000" w:rsidRPr="00000000" w14:paraId="000000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a Software as a Service solution are detailed in [insert reference to relevant Schedule].</w:t>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Support &amp; Maintenance Terms</w:t>
      </w:r>
    </w:p>
    <w:p w:rsidR="00000000" w:rsidDel="00000000" w:rsidP="00000000" w:rsidRDefault="00000000" w:rsidRPr="00000000" w14:paraId="000000A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Software Support &amp; Maintenance Services are detailed in [insert reference to relevant Schedule]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Tyres</w:t>
    </w:r>
    <w:r w:rsidDel="00000000" w:rsidR="00000000" w:rsidRPr="00000000">
      <w:rPr>
        <w:rFonts w:ascii="Arial" w:cs="Arial" w:eastAsia="Arial" w:hAnsi="Arial"/>
        <w:sz w:val="20"/>
        <w:szCs w:val="20"/>
        <w:rtl w:val="0"/>
      </w:rPr>
      <w:t xml:space="preserve">, Glass and Telematics</w:t>
    </w: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v3.4</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Framework Ref: RM</w:t>
      <w:tab/>
      <w:t xml:space="preserve">                                           </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Project Version: v1.0</w:t>
      <w:tab/>
      <w:tab/>
      <w:tab/>
      <w:t xml:space="preserve">1</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Times New Roman" w:cs="Times New Roman" w:eastAsia="Times New Roman" w:hAnsi="Times New Roman"/>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6 (ICT Services)</w:t>
    </w:r>
    <w:r w:rsidDel="00000000" w:rsidR="00000000" w:rsidRPr="00000000">
      <w:rPr>
        <w:rtl w:val="0"/>
      </w:rPr>
    </w:r>
  </w:p>
  <w:p w:rsidR="00000000" w:rsidDel="00000000" w:rsidP="00000000" w:rsidRDefault="00000000" w:rsidRPr="00000000" w14:paraId="000000A9">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AA">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tabs>
        <w:tab w:val="center" w:leader="none" w:pos="4513"/>
        <w:tab w:val="right" w:leader="none"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lowerLetter"/>
      <w:lvlText w:val="%1)"/>
      <w:lvlJc w:val="left"/>
      <w:pPr>
        <w:ind w:left="2346" w:hanging="360"/>
      </w:pPr>
      <w:rPr/>
    </w:lvl>
    <w:lvl w:ilvl="1">
      <w:start w:val="1"/>
      <w:numFmt w:val="lowerLetter"/>
      <w:lvlText w:val="%2."/>
      <w:lvlJc w:val="left"/>
      <w:pPr>
        <w:ind w:left="3066" w:hanging="360"/>
      </w:pPr>
      <w:rPr/>
    </w:lvl>
    <w:lvl w:ilvl="2">
      <w:start w:val="1"/>
      <w:numFmt w:val="lowerRoman"/>
      <w:lvlText w:val="%3."/>
      <w:lvlJc w:val="right"/>
      <w:pPr>
        <w:ind w:left="3786" w:hanging="180"/>
      </w:pPr>
      <w:rPr/>
    </w:lvl>
    <w:lvl w:ilvl="3">
      <w:start w:val="1"/>
      <w:numFmt w:val="decimal"/>
      <w:lvlText w:val="%4."/>
      <w:lvlJc w:val="left"/>
      <w:pPr>
        <w:ind w:left="4506" w:hanging="360"/>
      </w:pPr>
      <w:rPr/>
    </w:lvl>
    <w:lvl w:ilvl="4">
      <w:start w:val="1"/>
      <w:numFmt w:val="lowerLetter"/>
      <w:lvlText w:val="%5."/>
      <w:lvlJc w:val="left"/>
      <w:pPr>
        <w:ind w:left="5226" w:hanging="360"/>
      </w:pPr>
      <w:rPr/>
    </w:lvl>
    <w:lvl w:ilvl="5">
      <w:start w:val="1"/>
      <w:numFmt w:val="lowerRoman"/>
      <w:lvlText w:val="%6."/>
      <w:lvlJc w:val="right"/>
      <w:pPr>
        <w:ind w:left="5946" w:hanging="180"/>
      </w:pPr>
      <w:rPr/>
    </w:lvl>
    <w:lvl w:ilvl="6">
      <w:start w:val="1"/>
      <w:numFmt w:val="decimal"/>
      <w:lvlText w:val="%7."/>
      <w:lvlJc w:val="left"/>
      <w:pPr>
        <w:ind w:left="6666" w:hanging="360"/>
      </w:pPr>
      <w:rPr/>
    </w:lvl>
    <w:lvl w:ilvl="7">
      <w:start w:val="1"/>
      <w:numFmt w:val="lowerLetter"/>
      <w:lvlText w:val="%8."/>
      <w:lvlJc w:val="left"/>
      <w:pPr>
        <w:ind w:left="7386" w:hanging="360"/>
      </w:pPr>
      <w:rPr/>
    </w:lvl>
    <w:lvl w:ilvl="8">
      <w:start w:val="1"/>
      <w:numFmt w:val="lowerRoman"/>
      <w:lvlText w:val="%9."/>
      <w:lvlJc w:val="right"/>
      <w:pPr>
        <w:ind w:left="8106" w:hanging="18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80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pageBreakBefore w:val="0"/>
      <w:spacing w:after="60" w:before="240" w:lineRule="auto"/>
      <w:jc w:val="center"/>
    </w:pPr>
    <w:rPr>
      <w:rFonts w:ascii="Arial" w:cs="Arial" w:eastAsia="Arial" w:hAnsi="Arial"/>
      <w:b w:val="1"/>
      <w:sz w:val="32"/>
      <w:szCs w:val="32"/>
    </w:rPr>
  </w:style>
  <w:style w:type="paragraph" w:styleId="Normal" w:default="1">
    <w:name w:val="Normal"/>
    <w:qFormat w:val="1"/>
    <w:pPr>
      <w:overflowPunct w:val="0"/>
      <w:autoSpaceDE w:val="0"/>
      <w:autoSpaceDN w:val="0"/>
      <w:adjustRightInd w:val="0"/>
      <w:spacing w:after="240" w:line="360" w:lineRule="auto"/>
      <w:jc w:val="both"/>
      <w:textAlignment w:val="baseline"/>
    </w:pPr>
    <w:rPr>
      <w:sz w:val="22"/>
      <w:lang w:eastAsia="en-US"/>
    </w:rPr>
  </w:style>
  <w:style w:type="paragraph" w:styleId="Heading1">
    <w:name w:val="heading 1"/>
    <w:basedOn w:val="HouseStyleBase"/>
    <w:link w:val="Heading1Char"/>
    <w:uiPriority w:val="9"/>
    <w:qFormat w:val="1"/>
    <w:pPr>
      <w:numPr>
        <w:numId w:val="2"/>
      </w:numPr>
      <w:outlineLvl w:val="0"/>
    </w:pPr>
  </w:style>
  <w:style w:type="paragraph" w:styleId="Heading2">
    <w:name w:val="heading 2"/>
    <w:basedOn w:val="HouseStyleBase"/>
    <w:link w:val="Heading2Char"/>
    <w:uiPriority w:val="9"/>
    <w:qFormat w:val="1"/>
    <w:pPr>
      <w:numPr>
        <w:ilvl w:val="1"/>
        <w:numId w:val="2"/>
      </w:numPr>
      <w:outlineLvl w:val="1"/>
    </w:pPr>
    <w:rPr>
      <w:rFonts w:ascii="Calibri" w:hAnsi="Calibri"/>
    </w:rPr>
  </w:style>
  <w:style w:type="paragraph" w:styleId="Heading3">
    <w:name w:val="heading 3"/>
    <w:basedOn w:val="HouseStyleBase"/>
    <w:link w:val="Heading3Char"/>
    <w:uiPriority w:val="9"/>
    <w:qFormat w:val="1"/>
    <w:pPr>
      <w:numPr>
        <w:ilvl w:val="2"/>
        <w:numId w:val="2"/>
      </w:numPr>
      <w:outlineLvl w:val="2"/>
    </w:pPr>
  </w:style>
  <w:style w:type="paragraph" w:styleId="Heading4">
    <w:name w:val="heading 4"/>
    <w:basedOn w:val="HouseStyleBase"/>
    <w:link w:val="Heading4Char"/>
    <w:uiPriority w:val="9"/>
    <w:qFormat w:val="1"/>
    <w:pPr>
      <w:numPr>
        <w:ilvl w:val="3"/>
        <w:numId w:val="2"/>
      </w:numPr>
      <w:outlineLvl w:val="3"/>
    </w:pPr>
  </w:style>
  <w:style w:type="paragraph" w:styleId="Heading5">
    <w:name w:val="heading 5"/>
    <w:basedOn w:val="HouseStyleBase"/>
    <w:link w:val="Heading5Char"/>
    <w:uiPriority w:val="9"/>
    <w:qFormat w:val="1"/>
    <w:pPr>
      <w:numPr>
        <w:ilvl w:val="4"/>
        <w:numId w:val="2"/>
      </w:numPr>
      <w:outlineLvl w:val="4"/>
    </w:pPr>
  </w:style>
  <w:style w:type="paragraph" w:styleId="Heading6">
    <w:name w:val="heading 6"/>
    <w:basedOn w:val="HouseStyleBase"/>
    <w:qFormat w:val="1"/>
    <w:pPr>
      <w:numPr>
        <w:ilvl w:val="5"/>
        <w:numId w:val="2"/>
      </w:numPr>
      <w:outlineLvl w:val="5"/>
    </w:pPr>
  </w:style>
  <w:style w:type="paragraph" w:styleId="Heading7">
    <w:name w:val="heading 7"/>
    <w:basedOn w:val="HouseStyleBase"/>
    <w:qFormat w:val="1"/>
    <w:pPr>
      <w:numPr>
        <w:ilvl w:val="6"/>
        <w:numId w:val="2"/>
      </w:numPr>
      <w:outlineLvl w:val="6"/>
    </w:pPr>
  </w:style>
  <w:style w:type="paragraph" w:styleId="Heading8">
    <w:name w:val="heading 8"/>
    <w:basedOn w:val="HouseStyleBase"/>
    <w:qFormat w:val="1"/>
    <w:pPr>
      <w:numPr>
        <w:ilvl w:val="7"/>
        <w:numId w:val="2"/>
      </w:numPr>
      <w:outlineLvl w:val="7"/>
    </w:pPr>
  </w:style>
  <w:style w:type="paragraph" w:styleId="Heading9">
    <w:name w:val="heading 9"/>
    <w:basedOn w:val="HouseStyleBase"/>
    <w:qFormat w:val="1"/>
    <w:pPr>
      <w:numPr>
        <w:ilvl w:val="8"/>
        <w:numId w:val="2"/>
      </w:num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pPr>
      <w:tabs>
        <w:tab w:val="center" w:pos="4153"/>
        <w:tab w:val="right" w:pos="8306"/>
      </w:tabs>
      <w:spacing w:after="0" w:line="240" w:lineRule="auto"/>
    </w:pPr>
  </w:style>
  <w:style w:type="paragraph" w:styleId="BodyTextIndent">
    <w:name w:val="Body Text Indent"/>
    <w:basedOn w:val="HouseStyleBase"/>
    <w:link w:val="BodyTextIndentChar"/>
    <w:pPr>
      <w:numPr>
        <w:numId w:val="37"/>
      </w:numPr>
    </w:pPr>
    <w:rPr>
      <w:rFonts w:ascii="Calibri" w:hAnsi="Calibri"/>
    </w:rPr>
  </w:style>
  <w:style w:type="paragraph" w:styleId="BodyTextIndent2">
    <w:name w:val="Body Text Indent 2"/>
    <w:basedOn w:val="HouseStyleBase"/>
    <w:link w:val="BodyTextIndent2Char"/>
    <w:pPr>
      <w:numPr>
        <w:ilvl w:val="1"/>
        <w:numId w:val="37"/>
      </w:numPr>
    </w:pPr>
  </w:style>
  <w:style w:type="paragraph" w:styleId="BodyTextIndent3">
    <w:name w:val="Body Text Indent 3"/>
    <w:basedOn w:val="HouseStyleBase"/>
    <w:pPr>
      <w:ind w:left="1800"/>
    </w:pPr>
  </w:style>
  <w:style w:type="paragraph" w:styleId="BodyTextIndent4" w:customStyle="1">
    <w:name w:val="Body Text Indent 4"/>
    <w:basedOn w:val="HouseStyleBase"/>
    <w:pPr>
      <w:ind w:left="2880"/>
    </w:pPr>
  </w:style>
  <w:style w:type="paragraph" w:styleId="BodyTextIndent5" w:customStyle="1">
    <w:name w:val="Body Text Indent 5"/>
    <w:basedOn w:val="HouseStyleBase"/>
    <w:pPr>
      <w:ind w:left="3600"/>
    </w:pPr>
  </w:style>
  <w:style w:type="paragraph" w:styleId="MarginText" w:customStyle="1">
    <w:name w:val="Margin Text"/>
    <w:basedOn w:val="HouseStyleBase"/>
    <w:link w:val="MarginTextChar"/>
    <w:rPr>
      <w:rFonts w:ascii="Calibri" w:hAnsi="Calibri"/>
    </w:rPr>
  </w:style>
  <w:style w:type="paragraph" w:styleId="BodyText">
    <w:name w:val="Body Text"/>
    <w:basedOn w:val="Normal"/>
    <w:link w:val="BodyTextChar"/>
    <w:uiPriority w:val="99"/>
    <w:pPr>
      <w:spacing w:after="120"/>
    </w:pPr>
  </w:style>
  <w:style w:type="character" w:styleId="PageNumber">
    <w:name w:val="page number"/>
    <w:rPr>
      <w:sz w:val="22"/>
    </w:rPr>
  </w:style>
  <w:style w:type="paragraph" w:styleId="Header">
    <w:name w:val="header"/>
    <w:basedOn w:val="Normal"/>
    <w:link w:val="HeaderChar"/>
    <w:uiPriority w:val="99"/>
    <w:pPr>
      <w:tabs>
        <w:tab w:val="center" w:pos="4153"/>
        <w:tab w:val="right" w:pos="8306"/>
      </w:tabs>
    </w:pPr>
  </w:style>
  <w:style w:type="paragraph" w:styleId="BodyTextIndent6" w:customStyle="1">
    <w:name w:val="Body Text Indent 6"/>
    <w:basedOn w:val="HouseStyleBase"/>
    <w:pPr>
      <w:ind w:left="4320"/>
    </w:pPr>
  </w:style>
  <w:style w:type="paragraph" w:styleId="BodyTextIndent7" w:customStyle="1">
    <w:name w:val="Body Text Indent 7"/>
    <w:basedOn w:val="HouseStyleBase"/>
    <w:pPr>
      <w:ind w:left="5040"/>
    </w:pPr>
  </w:style>
  <w:style w:type="paragraph" w:styleId="SchHead" w:customStyle="1">
    <w:name w:val="SchHead"/>
    <w:basedOn w:val="HouseStyleBaseCentred"/>
    <w:next w:val="SchPart"/>
    <w:pPr>
      <w:keepNext w:val="1"/>
      <w:numPr>
        <w:numId w:val="5"/>
      </w:numPr>
      <w:jc w:val="center"/>
      <w:outlineLvl w:val="0"/>
    </w:pPr>
    <w:rPr>
      <w:b w:val="1"/>
      <w:caps w:val="1"/>
    </w:rPr>
  </w:style>
  <w:style w:type="paragraph" w:styleId="ScheduleL1" w:customStyle="1">
    <w:name w:val="Schedule L1"/>
    <w:basedOn w:val="HouseStyleBase"/>
    <w:pPr>
      <w:keepNext w:val="1"/>
      <w:numPr>
        <w:numId w:val="14"/>
      </w:numPr>
      <w:outlineLvl w:val="0"/>
    </w:pPr>
    <w:rPr>
      <w:rFonts w:ascii="Calibri" w:hAnsi="Calibri"/>
      <w:b w:val="1"/>
      <w:bCs w:val="1"/>
    </w:rPr>
  </w:style>
  <w:style w:type="paragraph" w:styleId="ListBullet">
    <w:name w:val="List Bullet"/>
    <w:basedOn w:val="Normal"/>
    <w:pPr>
      <w:ind w:left="720" w:hanging="720"/>
    </w:pPr>
  </w:style>
  <w:style w:type="paragraph" w:styleId="TOAHeading">
    <w:name w:val="toa heading"/>
    <w:basedOn w:val="Normal"/>
    <w:next w:val="Normal"/>
    <w:semiHidden w:val="1"/>
    <w:pPr>
      <w:spacing w:before="120"/>
    </w:pPr>
    <w:rPr>
      <w:b w:val="1"/>
    </w:rPr>
  </w:style>
  <w:style w:type="paragraph" w:styleId="Title">
    <w:name w:val="Title"/>
    <w:basedOn w:val="Normal"/>
    <w:qFormat w:val="1"/>
    <w:pPr>
      <w:spacing w:after="60" w:before="240"/>
      <w:jc w:val="center"/>
    </w:pPr>
    <w:rPr>
      <w:rFonts w:ascii="Arial" w:hAnsi="Arial"/>
      <w:b w:val="1"/>
      <w:kern w:val="28"/>
      <w:sz w:val="32"/>
    </w:rPr>
  </w:style>
  <w:style w:type="paragraph" w:styleId="ListBullet2">
    <w:name w:val="List Bullet 2"/>
    <w:basedOn w:val="HouseStyleBase"/>
    <w:pPr>
      <w:numPr>
        <w:ilvl w:val="1"/>
        <w:numId w:val="6"/>
      </w:numPr>
    </w:pPr>
  </w:style>
  <w:style w:type="paragraph" w:styleId="HouseStyleBase" w:customStyle="1">
    <w:name w:val="House Style Base"/>
    <w:link w:val="HouseStyleBaseChar"/>
    <w:pPr>
      <w:adjustRightInd w:val="0"/>
      <w:spacing w:after="240"/>
      <w:jc w:val="both"/>
    </w:pPr>
    <w:rPr>
      <w:rFonts w:eastAsia="STZhongsong"/>
      <w:sz w:val="22"/>
      <w:lang w:eastAsia="zh-CN"/>
    </w:rPr>
  </w:style>
  <w:style w:type="numbering" w:styleId="111111">
    <w:name w:val="Outline List 2"/>
    <w:basedOn w:val="NoList"/>
    <w:pPr>
      <w:numPr>
        <w:numId w:val="1"/>
      </w:numPr>
    </w:pPr>
  </w:style>
  <w:style w:type="paragraph" w:styleId="TOC1">
    <w:name w:val="toc 1"/>
    <w:semiHidden w:val="1"/>
    <w:pPr>
      <w:tabs>
        <w:tab w:val="left" w:pos="720"/>
        <w:tab w:val="right" w:leader="dot" w:pos="9029"/>
      </w:tabs>
      <w:adjustRightInd w:val="0"/>
      <w:spacing w:after="120"/>
      <w:ind w:left="720" w:hanging="720"/>
    </w:pPr>
    <w:rPr>
      <w:rFonts w:eastAsia="STZhongsong"/>
      <w:caps w:val="1"/>
      <w:sz w:val="22"/>
      <w:lang w:eastAsia="zh-CN"/>
    </w:rPr>
  </w:style>
  <w:style w:type="paragraph" w:styleId="TOC2">
    <w:name w:val="toc 2"/>
    <w:semiHidden w:val="1"/>
    <w:pPr>
      <w:tabs>
        <w:tab w:val="left" w:pos="1440"/>
        <w:tab w:val="right" w:leader="dot" w:pos="9029"/>
      </w:tabs>
      <w:adjustRightInd w:val="0"/>
      <w:spacing w:after="120"/>
      <w:ind w:left="1440" w:hanging="720"/>
    </w:pPr>
    <w:rPr>
      <w:rFonts w:eastAsia="STZhongsong"/>
      <w:sz w:val="22"/>
      <w:lang w:eastAsia="zh-CN"/>
    </w:rPr>
  </w:style>
  <w:style w:type="paragraph" w:styleId="TOC3">
    <w:name w:val="toc 3"/>
    <w:semiHidden w:val="1"/>
    <w:pPr>
      <w:tabs>
        <w:tab w:val="left" w:pos="2160"/>
        <w:tab w:val="right" w:leader="dot" w:pos="9029"/>
      </w:tabs>
      <w:adjustRightInd w:val="0"/>
      <w:spacing w:after="120"/>
      <w:ind w:left="2160" w:hanging="720"/>
    </w:pPr>
    <w:rPr>
      <w:rFonts w:eastAsia="STZhongsong"/>
      <w:sz w:val="22"/>
      <w:lang w:eastAsia="zh-CN"/>
    </w:rPr>
  </w:style>
  <w:style w:type="paragraph" w:styleId="TOC4">
    <w:name w:val="toc 4"/>
    <w:semiHidden w:val="1"/>
    <w:pPr>
      <w:tabs>
        <w:tab w:val="left" w:pos="2880"/>
        <w:tab w:val="right" w:leader="dot" w:pos="9029"/>
      </w:tabs>
      <w:adjustRightInd w:val="0"/>
      <w:spacing w:after="120"/>
      <w:ind w:left="2880" w:hanging="720"/>
    </w:pPr>
    <w:rPr>
      <w:rFonts w:eastAsia="STZhongsong"/>
      <w:sz w:val="22"/>
      <w:lang w:eastAsia="zh-CN"/>
    </w:rPr>
  </w:style>
  <w:style w:type="paragraph" w:styleId="TOC5">
    <w:name w:val="toc 5"/>
    <w:semiHidden w:val="1"/>
    <w:pPr>
      <w:tabs>
        <w:tab w:val="left" w:pos="3600"/>
        <w:tab w:val="right" w:leader="dot" w:pos="9029"/>
      </w:tabs>
      <w:adjustRightInd w:val="0"/>
      <w:spacing w:after="120"/>
      <w:ind w:left="3600" w:hanging="720"/>
    </w:pPr>
    <w:rPr>
      <w:rFonts w:eastAsia="STZhongsong"/>
      <w:sz w:val="22"/>
      <w:lang w:eastAsia="zh-CN"/>
    </w:rPr>
  </w:style>
  <w:style w:type="paragraph" w:styleId="TOC6">
    <w:name w:val="toc 6"/>
    <w:semiHidden w:val="1"/>
    <w:pPr>
      <w:tabs>
        <w:tab w:val="left" w:pos="4320"/>
        <w:tab w:val="right" w:leader="dot" w:pos="9029"/>
      </w:tabs>
      <w:adjustRightInd w:val="0"/>
      <w:spacing w:after="120"/>
      <w:ind w:left="4320" w:hanging="720"/>
    </w:pPr>
    <w:rPr>
      <w:rFonts w:eastAsia="STZhongsong"/>
      <w:sz w:val="22"/>
      <w:lang w:eastAsia="zh-CN"/>
    </w:rPr>
  </w:style>
  <w:style w:type="paragraph" w:styleId="TOC7">
    <w:name w:val="toc 7"/>
    <w:semiHidden w:val="1"/>
    <w:pPr>
      <w:tabs>
        <w:tab w:val="left" w:pos="5040"/>
        <w:tab w:val="right" w:leader="dot" w:pos="9029"/>
      </w:tabs>
      <w:adjustRightInd w:val="0"/>
      <w:spacing w:after="120"/>
      <w:ind w:left="5040" w:hanging="720"/>
    </w:pPr>
    <w:rPr>
      <w:rFonts w:eastAsia="STZhongsong"/>
      <w:sz w:val="22"/>
      <w:lang w:eastAsia="zh-CN"/>
    </w:rPr>
  </w:style>
  <w:style w:type="paragraph" w:styleId="TOC8">
    <w:name w:val="toc 8"/>
    <w:semiHidden w:val="1"/>
    <w:pPr>
      <w:tabs>
        <w:tab w:val="right" w:leader="dot" w:pos="9029"/>
      </w:tabs>
      <w:adjustRightInd w:val="0"/>
      <w:spacing w:after="120"/>
    </w:pPr>
    <w:rPr>
      <w:rFonts w:eastAsia="STZhongsong"/>
      <w:caps w:val="1"/>
      <w:sz w:val="22"/>
      <w:lang w:eastAsia="zh-CN"/>
    </w:rPr>
  </w:style>
  <w:style w:type="paragraph" w:styleId="TOC9">
    <w:name w:val="toc 9"/>
    <w:semiHidden w:val="1"/>
    <w:pPr>
      <w:tabs>
        <w:tab w:val="right" w:leader="dot" w:pos="9029"/>
      </w:tabs>
      <w:adjustRightInd w:val="0"/>
      <w:spacing w:after="120"/>
      <w:ind w:left="720"/>
    </w:pPr>
    <w:rPr>
      <w:rFonts w:eastAsia="STZhongsong"/>
      <w:sz w:val="22"/>
      <w:lang w:eastAsia="zh-CN"/>
    </w:rPr>
  </w:style>
  <w:style w:type="paragraph" w:styleId="HouseStyleBaseCentred" w:customStyle="1">
    <w:name w:val="House Style Base Centred"/>
    <w:pPr>
      <w:adjustRightInd w:val="0"/>
      <w:spacing w:after="240"/>
    </w:pPr>
    <w:rPr>
      <w:rFonts w:eastAsia="STZhongsong"/>
      <w:sz w:val="22"/>
      <w:lang w:eastAsia="zh-CN"/>
    </w:rPr>
  </w:style>
  <w:style w:type="paragraph" w:styleId="FootnoteText">
    <w:name w:val="footnote text"/>
    <w:basedOn w:val="HouseStyleBase"/>
    <w:semiHidden w:val="1"/>
    <w:pPr>
      <w:spacing w:after="60"/>
      <w:ind w:left="720" w:hanging="720"/>
    </w:pPr>
    <w:rPr>
      <w:sz w:val="16"/>
    </w:rPr>
  </w:style>
  <w:style w:type="character" w:styleId="FootnoteReference">
    <w:name w:val="footnote reference"/>
    <w:uiPriority w:val="99"/>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pPr>
      <w:spacing w:after="120"/>
      <w:ind w:left="720" w:hanging="720"/>
    </w:pPr>
    <w:rPr>
      <w:sz w:val="18"/>
    </w:rPr>
  </w:style>
  <w:style w:type="character" w:styleId="EndnoteReference">
    <w:name w:val="end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uiPriority w:val="59"/>
    <w:pPr>
      <w:overflowPunct w:val="0"/>
      <w:autoSpaceDE w:val="0"/>
      <w:autoSpaceDN w:val="0"/>
      <w:adjustRightInd w:val="0"/>
      <w:jc w:val="both"/>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customStyle="1">
    <w:name w:val="Heading"/>
    <w:basedOn w:val="HouseStyleBaseCentred"/>
    <w:next w:val="MarginText"/>
    <w:pPr>
      <w:keepNext w:val="1"/>
      <w:jc w:val="center"/>
    </w:pPr>
    <w:rPr>
      <w:b w:val="1"/>
      <w:caps w:val="1"/>
    </w:rPr>
  </w:style>
  <w:style w:type="paragraph" w:styleId="AppHead" w:customStyle="1">
    <w:name w:val="AppHead"/>
    <w:basedOn w:val="HouseStyleBaseCentred"/>
    <w:pPr>
      <w:numPr>
        <w:numId w:val="3"/>
      </w:numPr>
      <w:jc w:val="center"/>
      <w:outlineLvl w:val="0"/>
    </w:pPr>
    <w:rPr>
      <w:b w:val="1"/>
      <w:caps w:val="1"/>
    </w:rPr>
  </w:style>
  <w:style w:type="paragraph" w:styleId="RecitalNumbering" w:customStyle="1">
    <w:name w:val="Recital Numbering"/>
    <w:basedOn w:val="HouseStyleBase"/>
    <w:pPr>
      <w:numPr>
        <w:numId w:val="7"/>
      </w:numPr>
      <w:outlineLvl w:val="0"/>
    </w:pPr>
  </w:style>
  <w:style w:type="paragraph" w:styleId="DefinitionNumbering1" w:customStyle="1">
    <w:name w:val="Definition Numbering 1"/>
    <w:basedOn w:val="HouseStyleBase"/>
    <w:pPr>
      <w:numPr>
        <w:ilvl w:val="2"/>
        <w:numId w:val="37"/>
      </w:numPr>
      <w:spacing w:after="120"/>
      <w:outlineLvl w:val="0"/>
    </w:pPr>
    <w:rPr>
      <w:rFonts w:ascii="Calibri" w:hAnsi="Calibri"/>
    </w:rPr>
  </w:style>
  <w:style w:type="paragraph" w:styleId="DefinitionNumbering2" w:customStyle="1">
    <w:name w:val="Definition Numbering 2"/>
    <w:basedOn w:val="HouseStyleBase"/>
    <w:pPr>
      <w:numPr>
        <w:ilvl w:val="3"/>
        <w:numId w:val="37"/>
      </w:numPr>
      <w:outlineLvl w:val="1"/>
    </w:pPr>
  </w:style>
  <w:style w:type="paragraph" w:styleId="DefinitionNumbering3" w:customStyle="1">
    <w:name w:val="Definition Numbering 3"/>
    <w:basedOn w:val="HouseStyleBase"/>
    <w:pPr>
      <w:numPr>
        <w:ilvl w:val="4"/>
        <w:numId w:val="37"/>
      </w:numPr>
      <w:outlineLvl w:val="2"/>
    </w:pPr>
  </w:style>
  <w:style w:type="paragraph" w:styleId="DefinitionNumbering4" w:customStyle="1">
    <w:name w:val="Definition Numbering 4"/>
    <w:basedOn w:val="HouseStyleBase"/>
    <w:pPr>
      <w:numPr>
        <w:ilvl w:val="5"/>
        <w:numId w:val="37"/>
      </w:numPr>
      <w:outlineLvl w:val="3"/>
    </w:pPr>
  </w:style>
  <w:style w:type="paragraph" w:styleId="DefinitionNumbering5" w:customStyle="1">
    <w:name w:val="Definition Numbering 5"/>
    <w:basedOn w:val="HouseStyleBase"/>
    <w:pPr>
      <w:numPr>
        <w:ilvl w:val="6"/>
        <w:numId w:val="37"/>
      </w:numPr>
      <w:outlineLvl w:val="4"/>
    </w:pPr>
  </w:style>
  <w:style w:type="paragraph" w:styleId="DefinitionNumbering6" w:customStyle="1">
    <w:name w:val="Definition Numbering 6"/>
    <w:basedOn w:val="HouseStyleBase"/>
    <w:pPr>
      <w:numPr>
        <w:ilvl w:val="7"/>
        <w:numId w:val="37"/>
      </w:numPr>
      <w:outlineLvl w:val="5"/>
    </w:pPr>
  </w:style>
  <w:style w:type="paragraph" w:styleId="DefinitionNumbering7" w:customStyle="1">
    <w:name w:val="Definition Numbering 7"/>
    <w:basedOn w:val="HouseStyleBase"/>
    <w:pPr>
      <w:numPr>
        <w:ilvl w:val="8"/>
        <w:numId w:val="37"/>
      </w:numPr>
      <w:outlineLvl w:val="6"/>
    </w:pPr>
  </w:style>
  <w:style w:type="paragraph" w:styleId="DefinitionNumbering8" w:customStyle="1">
    <w:name w:val="Definition Numbering 8"/>
    <w:basedOn w:val="HouseStyleBase"/>
    <w:pPr>
      <w:numPr>
        <w:ilvl w:val="7"/>
        <w:numId w:val="8"/>
      </w:numPr>
      <w:outlineLvl w:val="7"/>
    </w:pPr>
  </w:style>
  <w:style w:type="paragraph" w:styleId="DefinitionNumbering9" w:customStyle="1">
    <w:name w:val="Definition Numbering 9"/>
    <w:basedOn w:val="HouseStyleBase"/>
    <w:pPr>
      <w:numPr>
        <w:ilvl w:val="8"/>
        <w:numId w:val="8"/>
      </w:numPr>
      <w:outlineLvl w:val="8"/>
    </w:pPr>
  </w:style>
  <w:style w:type="paragraph" w:styleId="ListBullet1" w:customStyle="1">
    <w:name w:val="List Bullet 1"/>
    <w:basedOn w:val="HouseStyleBase"/>
    <w:pPr>
      <w:numPr>
        <w:numId w:val="6"/>
      </w:numPr>
    </w:pPr>
  </w:style>
  <w:style w:type="paragraph" w:styleId="ListBullet3">
    <w:name w:val="List Bullet 3"/>
    <w:basedOn w:val="HouseStyleBase"/>
    <w:pPr>
      <w:numPr>
        <w:ilvl w:val="2"/>
        <w:numId w:val="6"/>
      </w:numPr>
    </w:pPr>
  </w:style>
  <w:style w:type="paragraph" w:styleId="ListBullet4">
    <w:name w:val="List Bullet 4"/>
    <w:basedOn w:val="HouseStyleBase"/>
    <w:pPr>
      <w:numPr>
        <w:ilvl w:val="3"/>
        <w:numId w:val="6"/>
      </w:numPr>
    </w:pPr>
  </w:style>
  <w:style w:type="paragraph" w:styleId="ListBullet5">
    <w:name w:val="List Bullet 5"/>
    <w:basedOn w:val="HouseStyleBase"/>
    <w:pPr>
      <w:numPr>
        <w:ilvl w:val="4"/>
        <w:numId w:val="6"/>
      </w:numPr>
    </w:pPr>
  </w:style>
  <w:style w:type="paragraph" w:styleId="ListBullet6" w:customStyle="1">
    <w:name w:val="List Bullet 6"/>
    <w:basedOn w:val="HouseStyleBase"/>
    <w:pPr>
      <w:numPr>
        <w:ilvl w:val="5"/>
        <w:numId w:val="6"/>
      </w:numPr>
    </w:pPr>
  </w:style>
  <w:style w:type="paragraph" w:styleId="ListBullet7" w:customStyle="1">
    <w:name w:val="List Bullet 7"/>
    <w:basedOn w:val="HouseStyleBase"/>
    <w:pPr>
      <w:numPr>
        <w:ilvl w:val="6"/>
        <w:numId w:val="6"/>
      </w:numPr>
    </w:pPr>
  </w:style>
  <w:style w:type="paragraph" w:styleId="ListBullet8" w:customStyle="1">
    <w:name w:val="List Bullet 8"/>
    <w:basedOn w:val="HouseStyleBase"/>
    <w:pPr>
      <w:numPr>
        <w:ilvl w:val="7"/>
        <w:numId w:val="6"/>
      </w:numPr>
    </w:pPr>
  </w:style>
  <w:style w:type="paragraph" w:styleId="ListBullet9" w:customStyle="1">
    <w:name w:val="List Bullet 9"/>
    <w:basedOn w:val="HouseStyleBase"/>
    <w:pPr>
      <w:numPr>
        <w:ilvl w:val="8"/>
        <w:numId w:val="6"/>
      </w:numPr>
    </w:pPr>
  </w:style>
  <w:style w:type="paragraph" w:styleId="SchPart" w:customStyle="1">
    <w:name w:val="SchPart"/>
    <w:basedOn w:val="HouseStyleBaseCentred"/>
    <w:next w:val="MarginText"/>
    <w:pPr>
      <w:keepNext w:val="1"/>
      <w:numPr>
        <w:ilvl w:val="1"/>
        <w:numId w:val="5"/>
      </w:numPr>
      <w:jc w:val="center"/>
      <w:outlineLvl w:val="1"/>
    </w:pPr>
    <w:rPr>
      <w:b w:val="1"/>
    </w:rPr>
  </w:style>
  <w:style w:type="paragraph" w:styleId="ScheduleL2" w:customStyle="1">
    <w:name w:val="Schedule L2"/>
    <w:basedOn w:val="HouseStyleBase"/>
    <w:pPr>
      <w:numPr>
        <w:ilvl w:val="1"/>
        <w:numId w:val="14"/>
      </w:numPr>
      <w:outlineLvl w:val="1"/>
    </w:pPr>
    <w:rPr>
      <w:rFonts w:ascii="Calibri" w:hAnsi="Calibri"/>
    </w:rPr>
  </w:style>
  <w:style w:type="paragraph" w:styleId="ScheduleL3" w:customStyle="1">
    <w:name w:val="Schedule L3"/>
    <w:basedOn w:val="HouseStyleBase"/>
    <w:pPr>
      <w:numPr>
        <w:ilvl w:val="2"/>
        <w:numId w:val="14"/>
      </w:numPr>
      <w:outlineLvl w:val="2"/>
    </w:pPr>
    <w:rPr>
      <w:rFonts w:ascii="Calibri" w:hAnsi="Calibri"/>
    </w:rPr>
  </w:style>
  <w:style w:type="paragraph" w:styleId="ScheduleL4" w:customStyle="1">
    <w:name w:val="Schedule L4"/>
    <w:basedOn w:val="HouseStyleBase"/>
    <w:pPr>
      <w:numPr>
        <w:ilvl w:val="3"/>
        <w:numId w:val="14"/>
      </w:numPr>
      <w:outlineLvl w:val="3"/>
    </w:pPr>
  </w:style>
  <w:style w:type="paragraph" w:styleId="ScheduleL5" w:customStyle="1">
    <w:name w:val="Schedule L5"/>
    <w:basedOn w:val="HouseStyleBase"/>
    <w:pPr>
      <w:numPr>
        <w:ilvl w:val="4"/>
        <w:numId w:val="14"/>
      </w:numPr>
      <w:outlineLvl w:val="4"/>
    </w:pPr>
  </w:style>
  <w:style w:type="paragraph" w:styleId="ScheduleL6" w:customStyle="1">
    <w:name w:val="Schedule L6"/>
    <w:basedOn w:val="HouseStyleBase"/>
    <w:pPr>
      <w:numPr>
        <w:ilvl w:val="5"/>
        <w:numId w:val="14"/>
      </w:numPr>
      <w:outlineLvl w:val="5"/>
    </w:pPr>
  </w:style>
  <w:style w:type="paragraph" w:styleId="ScheduleL7" w:customStyle="1">
    <w:name w:val="Schedule L7"/>
    <w:basedOn w:val="HouseStyleBase"/>
    <w:pPr>
      <w:numPr>
        <w:ilvl w:val="6"/>
        <w:numId w:val="14"/>
      </w:numPr>
      <w:outlineLvl w:val="6"/>
    </w:pPr>
  </w:style>
  <w:style w:type="paragraph" w:styleId="ScheduleL8" w:customStyle="1">
    <w:name w:val="Schedule L8"/>
    <w:basedOn w:val="HouseStyleBase"/>
    <w:pPr>
      <w:numPr>
        <w:ilvl w:val="7"/>
        <w:numId w:val="14"/>
      </w:numPr>
      <w:outlineLvl w:val="7"/>
    </w:pPr>
  </w:style>
  <w:style w:type="paragraph" w:styleId="ScheduleL9" w:customStyle="1">
    <w:name w:val="Schedule L9"/>
    <w:basedOn w:val="HouseStyleBase"/>
    <w:pPr>
      <w:numPr>
        <w:ilvl w:val="8"/>
        <w:numId w:val="14"/>
      </w:numPr>
      <w:outlineLvl w:val="8"/>
    </w:pPr>
  </w:style>
  <w:style w:type="paragraph" w:styleId="SchSection" w:customStyle="1">
    <w:name w:val="SchSection"/>
    <w:basedOn w:val="HouseStyleBaseCentred"/>
    <w:next w:val="MarginText"/>
    <w:pPr>
      <w:keepNext w:val="1"/>
      <w:numPr>
        <w:ilvl w:val="2"/>
        <w:numId w:val="5"/>
      </w:numPr>
      <w:jc w:val="center"/>
      <w:outlineLvl w:val="2"/>
    </w:pPr>
    <w:rPr>
      <w:b w:val="1"/>
    </w:rPr>
  </w:style>
  <w:style w:type="paragraph" w:styleId="Table-followingparagraph" w:customStyle="1">
    <w:name w:val="Table - following paragraph"/>
    <w:basedOn w:val="HouseStyleBase"/>
    <w:next w:val="MarginText"/>
    <w:pPr>
      <w:spacing w:after="0"/>
    </w:pPr>
  </w:style>
  <w:style w:type="paragraph" w:styleId="Table-Text" w:customStyle="1">
    <w:name w:val="Table - Text"/>
    <w:basedOn w:val="HouseStyleBase"/>
    <w:pPr>
      <w:spacing w:after="120" w:before="120"/>
      <w:jc w:val="left"/>
    </w:pPr>
  </w:style>
  <w:style w:type="paragraph" w:styleId="AppPart" w:customStyle="1">
    <w:name w:val="AppPart"/>
    <w:basedOn w:val="HouseStyleBaseCentred"/>
    <w:pPr>
      <w:numPr>
        <w:ilvl w:val="1"/>
        <w:numId w:val="3"/>
      </w:numPr>
      <w:jc w:val="center"/>
      <w:outlineLvl w:val="1"/>
    </w:pPr>
    <w:rPr>
      <w:b w:val="1"/>
    </w:rPr>
  </w:style>
  <w:style w:type="paragraph" w:styleId="RecitalNumbering2" w:customStyle="1">
    <w:name w:val="Recital Numbering 2"/>
    <w:basedOn w:val="HouseStyleBase"/>
    <w:pPr>
      <w:numPr>
        <w:ilvl w:val="1"/>
        <w:numId w:val="7"/>
      </w:numPr>
      <w:overflowPunct w:val="0"/>
      <w:autoSpaceDE w:val="0"/>
      <w:autoSpaceDN w:val="0"/>
      <w:textAlignment w:val="baseline"/>
    </w:pPr>
  </w:style>
  <w:style w:type="paragraph" w:styleId="RecitalNumbering3" w:customStyle="1">
    <w:name w:val="Recital Numbering 3"/>
    <w:basedOn w:val="HouseStyleBase"/>
    <w:pPr>
      <w:numPr>
        <w:ilvl w:val="2"/>
        <w:numId w:val="7"/>
      </w:numPr>
      <w:overflowPunct w:val="0"/>
      <w:autoSpaceDE w:val="0"/>
      <w:autoSpaceDN w:val="0"/>
      <w:textAlignment w:val="baseline"/>
    </w:pPr>
  </w:style>
  <w:style w:type="paragraph" w:styleId="BalloonText">
    <w:name w:val="Balloon Text"/>
    <w:basedOn w:val="Normal"/>
    <w:link w:val="BalloonTextChar"/>
    <w:pPr>
      <w:spacing w:after="0" w:line="240" w:lineRule="auto"/>
    </w:pPr>
    <w:rPr>
      <w:rFonts w:ascii="Tahoma" w:cs="Tahoma" w:hAnsi="Tahoma"/>
      <w:sz w:val="16"/>
      <w:szCs w:val="16"/>
    </w:rPr>
  </w:style>
  <w:style w:type="character" w:styleId="BalloonTextChar" w:customStyle="1">
    <w:name w:val="Balloon Text Char"/>
    <w:link w:val="BalloonText"/>
    <w:rPr>
      <w:rFonts w:ascii="Tahoma" w:cs="Tahoma" w:hAnsi="Tahoma"/>
      <w:sz w:val="16"/>
      <w:szCs w:val="16"/>
      <w:lang w:eastAsia="en-US"/>
    </w:rPr>
  </w:style>
  <w:style w:type="paragraph" w:styleId="Bibliography">
    <w:name w:val="Bibliography"/>
    <w:basedOn w:val="Normal"/>
    <w:next w:val="Normal"/>
    <w:uiPriority w:val="37"/>
    <w:semiHidden w:val="1"/>
    <w:unhideWhenUsed w:val="1"/>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styleId="BodyText2Char" w:customStyle="1">
    <w:name w:val="Body Text 2 Char"/>
    <w:link w:val="BodyText2"/>
    <w:rPr>
      <w:sz w:val="22"/>
      <w:lang w:eastAsia="en-US"/>
    </w:rPr>
  </w:style>
  <w:style w:type="paragraph" w:styleId="BodyText3">
    <w:name w:val="Body Text 3"/>
    <w:basedOn w:val="Normal"/>
    <w:link w:val="BodyText3Char"/>
    <w:pPr>
      <w:spacing w:after="120"/>
    </w:pPr>
    <w:rPr>
      <w:sz w:val="16"/>
      <w:szCs w:val="16"/>
    </w:rPr>
  </w:style>
  <w:style w:type="character" w:styleId="BodyText3Char" w:customStyle="1">
    <w:name w:val="Body Text 3 Char"/>
    <w:link w:val="BodyText3"/>
    <w:rPr>
      <w:sz w:val="16"/>
      <w:szCs w:val="16"/>
      <w:lang w:eastAsia="en-US"/>
    </w:rPr>
  </w:style>
  <w:style w:type="paragraph" w:styleId="BodyTextFirstIndent">
    <w:name w:val="Body Text First Indent"/>
    <w:basedOn w:val="BodyText"/>
    <w:link w:val="BodyTextFirstIndentChar"/>
    <w:pPr>
      <w:ind w:firstLine="210"/>
    </w:pPr>
  </w:style>
  <w:style w:type="character" w:styleId="BodyTextChar" w:customStyle="1">
    <w:name w:val="Body Text Char"/>
    <w:link w:val="BodyText"/>
    <w:uiPriority w:val="99"/>
    <w:rPr>
      <w:sz w:val="22"/>
      <w:lang w:eastAsia="en-US"/>
    </w:rPr>
  </w:style>
  <w:style w:type="character" w:styleId="BodyTextFirstIndentChar" w:customStyle="1">
    <w:name w:val="Body Text First Indent Char"/>
    <w:basedOn w:val="BodyTextChar"/>
    <w:link w:val="BodyTextFirstIndent"/>
    <w:rPr>
      <w:sz w:val="22"/>
      <w:lang w:eastAsia="en-US"/>
    </w:rPr>
  </w:style>
  <w:style w:type="paragraph" w:styleId="BodyTextFirstIndent2">
    <w:name w:val="Body Text First Indent 2"/>
    <w:basedOn w:val="BodyTextIndent"/>
    <w:link w:val="BodyTextFirstIndent2Char"/>
    <w:pPr>
      <w:numPr>
        <w:numId w:val="0"/>
      </w:numPr>
      <w:overflowPunct w:val="0"/>
      <w:autoSpaceDE w:val="0"/>
      <w:autoSpaceDN w:val="0"/>
      <w:spacing w:after="120" w:line="360" w:lineRule="auto"/>
      <w:ind w:left="283" w:firstLine="210"/>
      <w:textAlignment w:val="baseline"/>
    </w:pPr>
    <w:rPr>
      <w:rFonts w:eastAsia="Times New Roman"/>
      <w:lang w:eastAsia="en-US"/>
    </w:rPr>
  </w:style>
  <w:style w:type="character" w:styleId="HouseStyleBaseChar" w:customStyle="1">
    <w:name w:val="House Style Base Char"/>
    <w:link w:val="HouseStyleBase"/>
    <w:rPr>
      <w:rFonts w:eastAsia="STZhongsong"/>
      <w:sz w:val="22"/>
      <w:lang w:eastAsia="zh-CN"/>
    </w:rPr>
  </w:style>
  <w:style w:type="character" w:styleId="BodyTextIndentChar" w:customStyle="1">
    <w:name w:val="Body Text Indent Char"/>
    <w:link w:val="BodyTextIndent"/>
    <w:rPr>
      <w:rFonts w:ascii="Calibri" w:eastAsia="STZhongsong" w:hAnsi="Calibri"/>
      <w:sz w:val="22"/>
      <w:lang w:eastAsia="zh-CN"/>
    </w:rPr>
  </w:style>
  <w:style w:type="character" w:styleId="BodyTextFirstIndent2Char" w:customStyle="1">
    <w:name w:val="Body Text First Indent 2 Char"/>
    <w:link w:val="BodyTextFirstIndent2"/>
    <w:rPr>
      <w:rFonts w:eastAsia="STZhongsong"/>
      <w:sz w:val="22"/>
      <w:lang w:eastAsia="en-US"/>
    </w:rPr>
  </w:style>
  <w:style w:type="character" w:styleId="BookTitle">
    <w:name w:val="Book Title"/>
    <w:uiPriority w:val="33"/>
    <w:qFormat w:val="1"/>
    <w:rPr>
      <w:b w:val="1"/>
      <w:bCs w:val="1"/>
      <w:smallCaps w:val="1"/>
      <w:spacing w:val="5"/>
    </w:rPr>
  </w:style>
  <w:style w:type="paragraph" w:styleId="Caption">
    <w:name w:val="caption"/>
    <w:basedOn w:val="Normal"/>
    <w:next w:val="Normal"/>
    <w:semiHidden w:val="1"/>
    <w:unhideWhenUsed w:val="1"/>
    <w:qFormat w:val="1"/>
    <w:rPr>
      <w:b w:val="1"/>
      <w:bCs w:val="1"/>
      <w:sz w:val="20"/>
    </w:rPr>
  </w:style>
  <w:style w:type="paragraph" w:styleId="Closing">
    <w:name w:val="Closing"/>
    <w:basedOn w:val="Normal"/>
    <w:link w:val="ClosingChar"/>
    <w:pPr>
      <w:ind w:left="4252"/>
    </w:pPr>
  </w:style>
  <w:style w:type="character" w:styleId="ClosingChar" w:customStyle="1">
    <w:name w:val="Closing Char"/>
    <w:link w:val="Closing"/>
    <w:rPr>
      <w:sz w:val="22"/>
      <w:lang w:eastAsia="en-US"/>
    </w:rPr>
  </w:style>
  <w:style w:type="table" w:styleId="ColorfulGrid">
    <w:name w:val="Colorful Grid"/>
    <w:basedOn w:val="TableNormal"/>
    <w:uiPriority w:val="73"/>
    <w:rPr>
      <w:color w:val="000000"/>
    </w:rPr>
    <w:tblPr>
      <w:tblStyleRowBandSize w:val="1"/>
      <w:tblStyleColBandSize w:val="1"/>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rPr>
      <w:color w:val="000000"/>
    </w:rPr>
    <w:tblPr>
      <w:tblStyleRowBandSize w:val="1"/>
      <w:tblStyleColBandSize w:val="1"/>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rPr>
      <w:color w:val="000000"/>
    </w:rPr>
    <w:tblPr>
      <w:tblStyleRowBandSize w:val="1"/>
      <w:tblStyleColBandSize w:val="1"/>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rPr>
      <w:color w:val="000000"/>
    </w:rPr>
    <w:tblPr>
      <w:tblStyleRowBandSize w:val="1"/>
      <w:tblStyleColBandSize w:val="1"/>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rPr>
      <w:color w:val="000000"/>
    </w:rPr>
    <w:tblPr>
      <w:tblStyleRowBandSize w:val="1"/>
      <w:tblStyleColBandSize w:val="1"/>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rPr>
      <w:color w:val="000000"/>
    </w:rPr>
    <w:tblPr>
      <w:tblStyleRowBandSize w:val="1"/>
      <w:tblStyleColBandSize w:val="1"/>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rPr>
      <w:color w:val="000000"/>
    </w:rPr>
    <w:tblPr>
      <w:tblStyleRowBandSize w:val="1"/>
      <w:tblStyleColBandSize w:val="1"/>
      <w:tblBorders>
        <w:insideH w:color="ffffff" w:space="0" w:sz="4" w:val="single"/>
      </w:tblBorders>
    </w:tblPr>
    <w:tcPr>
      <w:shd w:color="auto" w:fill="fde9d9" w:val="clear"/>
    </w:tcPr>
    <w:tblStylePr w:type="firstRow">
      <w:rPr>
        <w:b w:val="1"/>
        <w:bCs w:val="1"/>
      </w:rPr>
      <w:tblPr/>
      <w:tcPr>
        <w:shd w:color="auto" w:fill="fbd4b4" w:val="clear"/>
      </w:tcPr>
    </w:tblStylePr>
    <w:tblStylePr w:type="lastRow">
      <w:rPr>
        <w:b w:val="1"/>
        <w:bCs w:val="1"/>
        <w:color w:val="000000"/>
      </w:rPr>
      <w:tblPr/>
      <w:tcPr>
        <w:shd w:color="auto" w:fill="fbd4b4" w:val="clear"/>
      </w:tcPr>
    </w:tblStylePr>
    <w:tblStylePr w:type="firstCol">
      <w:rPr>
        <w:color w:val="ffffff"/>
      </w:rPr>
      <w:tblPr/>
      <w:tcPr>
        <w:shd w:color="auto" w:fill="e36c0a" w:val="clear"/>
      </w:tcPr>
    </w:tblStylePr>
    <w:tblStylePr w:type="lastCol">
      <w:rPr>
        <w:color w:val="ffffff"/>
      </w:rPr>
      <w:tblPr/>
      <w:tcPr>
        <w:shd w:color="auto" w:fill="e36c0a" w:val="clear"/>
      </w:tcPr>
    </w:tblStylePr>
    <w:tblStylePr w:type="band1Vert">
      <w:tblPr/>
      <w:tcPr>
        <w:shd w:color="auto" w:fill="fbcaa2" w:val="clear"/>
      </w:tcPr>
    </w:tblStylePr>
    <w:tblStylePr w:type="band1Horz">
      <w:tblPr/>
      <w:tcPr>
        <w:shd w:color="auto" w:fill="fbcaa2" w:val="clear"/>
      </w:tcPr>
    </w:tblStylePr>
  </w:style>
  <w:style w:type="table" w:styleId="ColorfulList">
    <w:name w:val="Colorful List"/>
    <w:basedOn w:val="TableNormal"/>
    <w:uiPriority w:val="72"/>
    <w:rPr>
      <w:color w:val="000000"/>
    </w:rPr>
    <w:tblPr>
      <w:tblStyleRowBandSize w:val="1"/>
      <w:tblStyleColBandSize w:val="1"/>
    </w:tblPr>
    <w:tcPr>
      <w:shd w:color="auto" w:fill="e6e6e6"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rPr>
      <w:color w:val="000000"/>
    </w:rPr>
    <w:tblPr>
      <w:tblStyleRowBandSize w:val="1"/>
      <w:tblStyleColBandSize w:val="1"/>
    </w:tblPr>
    <w:tcPr>
      <w:shd w:color="auto" w:fill="edf2f8"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rPr>
      <w:color w:val="000000"/>
    </w:rPr>
    <w:tblPr>
      <w:tblStyleRowBandSize w:val="1"/>
      <w:tblStyleColBandSize w:val="1"/>
    </w:tblPr>
    <w:tcPr>
      <w:shd w:color="auto" w:fill="f8eded"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rPr>
      <w:color w:val="000000"/>
    </w:rPr>
    <w:tblPr>
      <w:tblStyleRowBandSize w:val="1"/>
      <w:tblStyleColBandSize w:val="1"/>
    </w:tblPr>
    <w:tcPr>
      <w:shd w:color="auto" w:fill="f5f8ee" w:val="clear"/>
    </w:tcPr>
    <w:tblStylePr w:type="firstRow">
      <w:rPr>
        <w:b w:val="1"/>
        <w:bCs w:val="1"/>
        <w:color w:val="ffffff"/>
      </w:rPr>
      <w:tblPr/>
      <w:tcPr>
        <w:tcBorders>
          <w:bottom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rPr>
      <w:color w:val="000000"/>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rPr>
      <w:color w:val="000000"/>
    </w:rPr>
    <w:tblPr>
      <w:tblStyleRowBandSize w:val="1"/>
      <w:tblStyleColBandSize w:val="1"/>
    </w:tblPr>
    <w:tcPr>
      <w:shd w:color="auto" w:fill="edf6f9" w:val="clear"/>
    </w:tcPr>
    <w:tblStylePr w:type="firstRow">
      <w:rPr>
        <w:b w:val="1"/>
        <w:bCs w:val="1"/>
        <w:color w:val="ffffff"/>
      </w:rPr>
      <w:tblPr/>
      <w:tcPr>
        <w:tcBorders>
          <w:bottom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rPr>
      <w:color w:val="000000"/>
    </w:rPr>
    <w:tblPr>
      <w:tblStyleRowBandSize w:val="1"/>
      <w:tblStyleColBandSize w:val="1"/>
    </w:tblPr>
    <w:tcPr>
      <w:shd w:color="auto" w:fill="fef4ec" w:val="clear"/>
    </w:tcPr>
    <w:tblStylePr w:type="firstRow">
      <w:rPr>
        <w:b w:val="1"/>
        <w:bCs w:val="1"/>
        <w:color w:val="ffffff"/>
      </w:rPr>
      <w:tblPr/>
      <w:tcPr>
        <w:tcBorders>
          <w:bottom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Shading">
    <w:name w:val="Colorful Shading"/>
    <w:basedOn w:val="TableNormal"/>
    <w:uiPriority w:val="71"/>
    <w:rPr>
      <w:color w:val="000000"/>
    </w:rPr>
    <w:tblPr>
      <w:tblStyleRowBandSize w:val="1"/>
      <w:tblStyleColBandSize w:val="1"/>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tcPr>
      <w:shd w:color="auto" w:fill="e6e6e6"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000000" w:val="clear"/>
      </w:tcPr>
    </w:tblStylePr>
    <w:tblStylePr w:type="firstCol">
      <w:rPr>
        <w:color w:val="ffffff"/>
      </w:rPr>
      <w:tblPr/>
      <w:tcPr>
        <w:tcBorders>
          <w:top w:space="0" w:sz="0" w:val="nil"/>
          <w:left w:space="0" w:sz="0" w:val="nil"/>
          <w:bottom w:space="0" w:sz="0" w:val="nil"/>
          <w:right w:space="0" w:sz="0" w:val="nil"/>
          <w:insideH w:color="000000" w:space="0" w:sz="4" w:val="single"/>
          <w:insideV w:space="0" w:sz="0" w:val="nil"/>
        </w:tcBorders>
        <w:shd w:color="auto" w:fill="00000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Vert">
      <w:tblPr/>
      <w:tcPr>
        <w:shd w:color="auto" w:fill="999999" w:val="clear"/>
      </w:tcPr>
    </w:tblStylePr>
    <w:tblStylePr w:type="band1Horz">
      <w:tblPr/>
      <w:tcPr>
        <w:shd w:color="auto" w:fill="808080" w:val="clear"/>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2c4c74"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772c2a"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5e7530"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rPr>
      <w:color w:val="000000"/>
    </w:rPr>
    <w:tblPr>
      <w:tblStyleRowBandSize w:val="1"/>
      <w:tblStyleColBandSize w:val="1"/>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4c3b62"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276a7c"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b65608"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styleId="CommentTextChar" w:customStyle="1">
    <w:name w:val="Comment Text Char"/>
    <w:link w:val="CommentText"/>
    <w:uiPriority w:val="99"/>
    <w:rPr>
      <w:lang w:eastAsia="en-US"/>
    </w:rPr>
  </w:style>
  <w:style w:type="paragraph" w:styleId="CommentSubject">
    <w:name w:val="annotation subject"/>
    <w:basedOn w:val="CommentText"/>
    <w:next w:val="CommentText"/>
    <w:link w:val="CommentSubjectChar"/>
    <w:rPr>
      <w:b w:val="1"/>
      <w:bCs w:val="1"/>
    </w:rPr>
  </w:style>
  <w:style w:type="character" w:styleId="CommentSubjectChar" w:customStyle="1">
    <w:name w:val="Comment Subject Char"/>
    <w:link w:val="CommentSubject"/>
    <w:rPr>
      <w:b w:val="1"/>
      <w:bCs w:val="1"/>
      <w:lang w:eastAsia="en-US"/>
    </w:rPr>
  </w:style>
  <w:style w:type="table" w:styleId="DarkList">
    <w:name w:val="Dark List"/>
    <w:basedOn w:val="TableNormal"/>
    <w:uiPriority w:val="70"/>
    <w:rPr>
      <w:color w:val="ffffff"/>
    </w:rPr>
    <w:tblPr>
      <w:tblStyleRowBandSize w:val="1"/>
      <w:tblStyleColBandSize w:val="1"/>
    </w:tblPr>
    <w:tcPr>
      <w:shd w:color="auto" w:fill="000000"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rPr>
      <w:color w:val="ffffff"/>
    </w:rPr>
    <w:tblPr>
      <w:tblStyleRowBandSize w:val="1"/>
      <w:tblStyleColBandSize w:val="1"/>
    </w:tblPr>
    <w:tcPr>
      <w:shd w:color="auto" w:fill="4f81b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43f6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65f91"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65f91"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val="clear"/>
      </w:tcPr>
    </w:tblStylePr>
  </w:style>
  <w:style w:type="table" w:styleId="DarkList-Accent2">
    <w:name w:val="Dark List Accent 2"/>
    <w:basedOn w:val="TableNormal"/>
    <w:uiPriority w:val="70"/>
    <w:rPr>
      <w:color w:val="ffffff"/>
    </w:rPr>
    <w:tblPr>
      <w:tblStyleRowBandSize w:val="1"/>
      <w:tblStyleColBandSize w:val="1"/>
    </w:tblPr>
    <w:tcPr>
      <w:shd w:color="auto" w:fill="c0504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rPr>
      <w:color w:val="ffffff"/>
    </w:rPr>
    <w:tblPr>
      <w:tblStyleRowBandSize w:val="1"/>
      <w:tblStyleColBandSize w:val="1"/>
    </w:tblPr>
    <w:tcPr>
      <w:shd w:color="auto" w:fill="9bbb59"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rPr>
      <w:color w:val="ffffff"/>
    </w:rPr>
    <w:tblPr>
      <w:tblStyleRowBandSize w:val="1"/>
      <w:tblStyleColBandSize w:val="1"/>
    </w:tblPr>
    <w:tcPr>
      <w:shd w:color="auto" w:fill="8064a2"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rPr>
      <w:color w:val="ffffff"/>
    </w:rPr>
    <w:tblPr>
      <w:tblStyleRowBandSize w:val="1"/>
      <w:tblStyleColBandSize w:val="1"/>
    </w:tblPr>
    <w:tcPr>
      <w:shd w:color="auto" w:fill="4bacc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rPr>
      <w:color w:val="ffffff"/>
    </w:rPr>
    <w:tblPr>
      <w:tblStyleRowBandSize w:val="1"/>
      <w:tblStyleColBandSize w:val="1"/>
    </w:tblPr>
    <w:tcPr>
      <w:shd w:color="auto" w:fill="f7964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paragraph" w:styleId="Date">
    <w:name w:val="Date"/>
    <w:basedOn w:val="Normal"/>
    <w:next w:val="Normal"/>
    <w:link w:val="DateChar"/>
  </w:style>
  <w:style w:type="character" w:styleId="DateChar" w:customStyle="1">
    <w:name w:val="Date Char"/>
    <w:link w:val="Date"/>
    <w:rPr>
      <w:sz w:val="22"/>
      <w:lang w:eastAsia="en-US"/>
    </w:rPr>
  </w:style>
  <w:style w:type="paragraph" w:styleId="DocumentMap">
    <w:name w:val="Document Map"/>
    <w:basedOn w:val="Normal"/>
    <w:link w:val="DocumentMapChar"/>
    <w:rPr>
      <w:rFonts w:ascii="Tahoma" w:cs="Tahoma" w:hAnsi="Tahoma"/>
      <w:sz w:val="16"/>
      <w:szCs w:val="16"/>
    </w:rPr>
  </w:style>
  <w:style w:type="character" w:styleId="DocumentMapChar" w:customStyle="1">
    <w:name w:val="Document Map Char"/>
    <w:link w:val="DocumentMap"/>
    <w:rPr>
      <w:rFonts w:ascii="Tahoma" w:cs="Tahoma" w:hAnsi="Tahoma"/>
      <w:sz w:val="16"/>
      <w:szCs w:val="16"/>
      <w:lang w:eastAsia="en-US"/>
    </w:rPr>
  </w:style>
  <w:style w:type="paragraph" w:styleId="E-mailSignature">
    <w:name w:val="E-mail Signature"/>
    <w:basedOn w:val="Normal"/>
    <w:link w:val="E-mailSignatureChar"/>
  </w:style>
  <w:style w:type="character" w:styleId="E-mailSignatureChar" w:customStyle="1">
    <w:name w:val="E-mail Signature Char"/>
    <w:link w:val="E-mailSignature"/>
    <w:rPr>
      <w:sz w:val="22"/>
      <w:lang w:eastAsia="en-US"/>
    </w:rPr>
  </w:style>
  <w:style w:type="character" w:styleId="Emphasis">
    <w:name w:val="Emphasis"/>
    <w:qFormat w:val="1"/>
    <w:rPr>
      <w:i w:val="1"/>
      <w:iCs w:val="1"/>
    </w:rPr>
  </w:style>
  <w:style w:type="paragraph" w:styleId="EnvelopeAddress">
    <w:name w:val="envelope address"/>
    <w:basedOn w:val="Normal"/>
    <w:pPr>
      <w:framePr w:lines="0" w:w="7920" w:h="1980" w:hSpace="180" w:wrap="auto" w:hAnchor="page" w:xAlign="center" w:yAlign="bottom" w:hRule="exact"/>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val="1"/>
      <w:iCs w:val="1"/>
    </w:rPr>
  </w:style>
  <w:style w:type="character" w:styleId="HTMLAddressChar" w:customStyle="1">
    <w:name w:val="HTML Address Char"/>
    <w:link w:val="HTMLAddress"/>
    <w:rPr>
      <w:i w:val="1"/>
      <w:iCs w:val="1"/>
      <w:sz w:val="22"/>
      <w:lang w:eastAsia="en-US"/>
    </w:rPr>
  </w:style>
  <w:style w:type="character" w:styleId="HTMLCite">
    <w:name w:val="HTML Cite"/>
    <w:rPr>
      <w:i w:val="1"/>
      <w:iCs w:val="1"/>
    </w:rPr>
  </w:style>
  <w:style w:type="character" w:styleId="HTMLCode">
    <w:name w:val="HTML Code"/>
    <w:rPr>
      <w:rFonts w:ascii="Courier New" w:cs="Courier New" w:hAnsi="Courier New"/>
      <w:sz w:val="20"/>
      <w:szCs w:val="20"/>
    </w:rPr>
  </w:style>
  <w:style w:type="character" w:styleId="HTMLDefinition">
    <w:name w:val="HTML Definition"/>
    <w:rPr>
      <w:i w:val="1"/>
      <w:iCs w:val="1"/>
    </w:rPr>
  </w:style>
  <w:style w:type="character" w:styleId="HTMLKeyboard">
    <w:name w:val="HTML Keyboard"/>
    <w:rPr>
      <w:rFonts w:ascii="Courier New" w:cs="Courier New" w:hAnsi="Courier New"/>
      <w:sz w:val="20"/>
      <w:szCs w:val="20"/>
    </w:rPr>
  </w:style>
  <w:style w:type="paragraph" w:styleId="HTMLPreformatted">
    <w:name w:val="HTML Preformatted"/>
    <w:basedOn w:val="Normal"/>
    <w:link w:val="HTMLPreformattedChar"/>
    <w:rPr>
      <w:rFonts w:ascii="Courier New" w:cs="Courier New" w:hAnsi="Courier New"/>
      <w:sz w:val="20"/>
    </w:rPr>
  </w:style>
  <w:style w:type="character" w:styleId="HTMLPreformattedChar" w:customStyle="1">
    <w:name w:val="HTML Preformatted Char"/>
    <w:link w:val="HTMLPreformatted"/>
    <w:rPr>
      <w:rFonts w:ascii="Courier New" w:cs="Courier New" w:hAnsi="Courier New"/>
      <w:lang w:eastAsia="en-US"/>
    </w:rPr>
  </w:style>
  <w:style w:type="character" w:styleId="HTMLSample">
    <w:name w:val="HTML Sample"/>
    <w:rPr>
      <w:rFonts w:ascii="Courier New" w:cs="Courier New" w:hAnsi="Courier New"/>
    </w:rPr>
  </w:style>
  <w:style w:type="character" w:styleId="HTMLTypewriter">
    <w:name w:val="HTML Typewriter"/>
    <w:rPr>
      <w:rFonts w:ascii="Courier New" w:cs="Courier New" w:hAnsi="Courier New"/>
      <w:sz w:val="20"/>
      <w:szCs w:val="20"/>
    </w:rPr>
  </w:style>
  <w:style w:type="character" w:styleId="HTMLVariable">
    <w:name w:val="HTML Variable"/>
    <w:rPr>
      <w:i w:val="1"/>
      <w:iCs w:val="1"/>
    </w:rPr>
  </w:style>
  <w:style w:type="character" w:styleId="Hyperlink">
    <w:name w:val="Hyperlink"/>
    <w:rPr>
      <w:color w:val="0000ff"/>
      <w:u w:val="single"/>
    </w:rPr>
  </w:style>
  <w:style w:type="paragraph" w:styleId="Index1">
    <w:name w:val="index 1"/>
    <w:basedOn w:val="Normal"/>
    <w:next w:val="Normal"/>
    <w:autoRedefine w:val="1"/>
    <w:pPr>
      <w:ind w:left="220" w:hanging="220"/>
    </w:pPr>
  </w:style>
  <w:style w:type="paragraph" w:styleId="Index2">
    <w:name w:val="index 2"/>
    <w:basedOn w:val="Normal"/>
    <w:next w:val="Normal"/>
    <w:autoRedefine w:val="1"/>
    <w:pPr>
      <w:ind w:left="440" w:hanging="220"/>
    </w:pPr>
  </w:style>
  <w:style w:type="paragraph" w:styleId="Index3">
    <w:name w:val="index 3"/>
    <w:basedOn w:val="Normal"/>
    <w:next w:val="Normal"/>
    <w:autoRedefine w:val="1"/>
    <w:pPr>
      <w:ind w:left="660" w:hanging="220"/>
    </w:pPr>
  </w:style>
  <w:style w:type="paragraph" w:styleId="Index4">
    <w:name w:val="index 4"/>
    <w:basedOn w:val="Normal"/>
    <w:next w:val="Normal"/>
    <w:autoRedefine w:val="1"/>
    <w:pPr>
      <w:ind w:left="880" w:hanging="220"/>
    </w:pPr>
  </w:style>
  <w:style w:type="paragraph" w:styleId="Index5">
    <w:name w:val="index 5"/>
    <w:basedOn w:val="Normal"/>
    <w:next w:val="Normal"/>
    <w:autoRedefine w:val="1"/>
    <w:pPr>
      <w:ind w:left="1100" w:hanging="220"/>
    </w:pPr>
  </w:style>
  <w:style w:type="paragraph" w:styleId="Index6">
    <w:name w:val="index 6"/>
    <w:basedOn w:val="Normal"/>
    <w:next w:val="Normal"/>
    <w:autoRedefine w:val="1"/>
    <w:pPr>
      <w:ind w:left="1320" w:hanging="220"/>
    </w:pPr>
  </w:style>
  <w:style w:type="paragraph" w:styleId="Index7">
    <w:name w:val="index 7"/>
    <w:basedOn w:val="Normal"/>
    <w:next w:val="Normal"/>
    <w:autoRedefine w:val="1"/>
    <w:pPr>
      <w:ind w:left="1540" w:hanging="220"/>
    </w:pPr>
  </w:style>
  <w:style w:type="paragraph" w:styleId="Index8">
    <w:name w:val="index 8"/>
    <w:basedOn w:val="Normal"/>
    <w:next w:val="Normal"/>
    <w:autoRedefine w:val="1"/>
    <w:pPr>
      <w:ind w:left="1760" w:hanging="220"/>
    </w:pPr>
  </w:style>
  <w:style w:type="paragraph" w:styleId="Index9">
    <w:name w:val="index 9"/>
    <w:basedOn w:val="Normal"/>
    <w:next w:val="Normal"/>
    <w:autoRedefine w:val="1"/>
    <w:pPr>
      <w:ind w:left="1980" w:hanging="220"/>
    </w:pPr>
  </w:style>
  <w:style w:type="paragraph" w:styleId="IndexHeading">
    <w:name w:val="index heading"/>
    <w:basedOn w:val="Normal"/>
    <w:next w:val="Index1"/>
    <w:rPr>
      <w:rFonts w:ascii="Cambria" w:hAnsi="Cambria"/>
      <w:b w:val="1"/>
      <w:bCs w:val="1"/>
    </w:rPr>
  </w:style>
  <w:style w:type="character" w:styleId="IntenseEmphasis">
    <w:name w:val="Intense Emphasis"/>
    <w:uiPriority w:val="21"/>
    <w:qFormat w:val="1"/>
    <w:rPr>
      <w:b w:val="1"/>
      <w:bCs w:val="1"/>
      <w:i w:val="1"/>
      <w:iCs w:val="1"/>
      <w:color w:val="4f81bd"/>
    </w:rPr>
  </w:style>
  <w:style w:type="paragraph" w:styleId="IntenseQuote">
    <w:name w:val="Intense Quote"/>
    <w:basedOn w:val="Normal"/>
    <w:next w:val="Normal"/>
    <w:link w:val="IntenseQuoteChar"/>
    <w:uiPriority w:val="30"/>
    <w:qFormat w:val="1"/>
    <w:pPr>
      <w:pBdr>
        <w:bottom w:color="4f81bd" w:space="4" w:sz="4" w:val="single"/>
      </w:pBdr>
      <w:spacing w:after="280" w:before="200"/>
      <w:ind w:left="936" w:right="936"/>
    </w:pPr>
    <w:rPr>
      <w:b w:val="1"/>
      <w:bCs w:val="1"/>
      <w:i w:val="1"/>
      <w:iCs w:val="1"/>
      <w:color w:val="4f81bd"/>
    </w:rPr>
  </w:style>
  <w:style w:type="character" w:styleId="IntenseQuoteChar" w:customStyle="1">
    <w:name w:val="Intense Quote Char"/>
    <w:link w:val="IntenseQuote"/>
    <w:uiPriority w:val="30"/>
    <w:rPr>
      <w:b w:val="1"/>
      <w:bCs w:val="1"/>
      <w:i w:val="1"/>
      <w:iCs w:val="1"/>
      <w:color w:val="4f81bd"/>
      <w:sz w:val="22"/>
      <w:lang w:eastAsia="en-US"/>
    </w:rPr>
  </w:style>
  <w:style w:type="character" w:styleId="IntenseReference">
    <w:name w:val="Intense Reference"/>
    <w:uiPriority w:val="32"/>
    <w:qFormat w:val="1"/>
    <w:rPr>
      <w:b w:val="1"/>
      <w:bCs w:val="1"/>
      <w:smallCaps w:val="1"/>
      <w:color w:val="c0504d"/>
      <w:spacing w:val="5"/>
      <w:u w:val="single"/>
    </w:rPr>
  </w:style>
  <w:style w:type="table" w:styleId="LightGrid">
    <w:name w:val="Light Grid"/>
    <w:basedOn w:val="TableNormal"/>
    <w:uiPriority w:val="62"/>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000000" w:space="0" w:sz="8" w:val="single"/>
          <w:left w:color="000000" w:space="0" w:sz="8" w:val="single"/>
          <w:bottom w:color="000000" w:space="0" w:sz="18" w:val="single"/>
          <w:right w:color="000000" w:space="0" w:sz="8" w:val="single"/>
          <w:insideH w:space="0" w:sz="0" w:val="nil"/>
          <w:insideV w:color="000000"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000000" w:space="0" w:sz="6" w:val="double"/>
          <w:left w:color="000000" w:space="0" w:sz="8" w:val="single"/>
          <w:bottom w:color="000000" w:space="0" w:sz="8" w:val="single"/>
          <w:right w:color="000000" w:space="0" w:sz="8" w:val="single"/>
          <w:insideH w:space="0" w:sz="0" w:val="nil"/>
          <w:insideV w:color="000000"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000000"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000000" w:space="0" w:sz="8" w:val="single"/>
        </w:tcBorders>
      </w:tcPr>
    </w:tblStylePr>
  </w:style>
  <w:style w:type="table" w:styleId="LightGrid-Accent1">
    <w:name w:val="Light Grid Accent 1"/>
    <w:basedOn w:val="TableNormal"/>
    <w:uiPriority w:val="62"/>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LightGrid-Accent2">
    <w:name w:val="Light Grid Accent 2"/>
    <w:basedOn w:val="TableNormal"/>
    <w:uiPriority w:val="62"/>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c0504d" w:space="0" w:sz="8" w:val="single"/>
          <w:left w:color="c0504d" w:space="0" w:sz="8" w:val="single"/>
          <w:bottom w:color="c0504d" w:space="0" w:sz="18" w:val="single"/>
          <w:right w:color="c0504d" w:space="0" w:sz="8" w:val="single"/>
          <w:insideH w:space="0" w:sz="0" w:val="nil"/>
          <w:insideV w:color="c0504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c0504d" w:space="0" w:sz="6" w:val="double"/>
          <w:left w:color="c0504d" w:space="0" w:sz="8" w:val="single"/>
          <w:bottom w:color="c0504d" w:space="0" w:sz="8" w:val="single"/>
          <w:right w:color="c0504d" w:space="0" w:sz="8" w:val="single"/>
          <w:insideH w:space="0" w:sz="0" w:val="nil"/>
          <w:insideV w:color="c0504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c0504d"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c0504d" w:space="0" w:sz="8" w:val="single"/>
        </w:tcBorders>
      </w:tcPr>
    </w:tblStylePr>
  </w:style>
  <w:style w:type="table" w:styleId="LightGrid-Accent3">
    <w:name w:val="Light Grid Accent 3"/>
    <w:basedOn w:val="TableNormal"/>
    <w:uiPriority w:val="62"/>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9bbb59" w:space="0" w:sz="8" w:val="single"/>
          <w:left w:color="9bbb59" w:space="0" w:sz="8" w:val="single"/>
          <w:bottom w:color="9bbb59" w:space="0" w:sz="18" w:val="single"/>
          <w:right w:color="9bbb59" w:space="0" w:sz="8" w:val="single"/>
          <w:insideH w:space="0" w:sz="0" w:val="nil"/>
          <w:insideV w:color="9bbb59"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9bbb59" w:space="0" w:sz="6" w:val="double"/>
          <w:left w:color="9bbb59" w:space="0" w:sz="8" w:val="single"/>
          <w:bottom w:color="9bbb59" w:space="0" w:sz="8" w:val="single"/>
          <w:right w:color="9bbb59" w:space="0" w:sz="8" w:val="single"/>
          <w:insideH w:space="0" w:sz="0" w:val="nil"/>
          <w:insideV w:color="9bbb59"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9bbb59"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9bbb59" w:space="0" w:sz="8" w:val="single"/>
        </w:tcBorders>
      </w:tcPr>
    </w:tblStylePr>
  </w:style>
  <w:style w:type="table" w:styleId="LightGrid-Accent4">
    <w:name w:val="Light Grid Accent 4"/>
    <w:basedOn w:val="TableNormal"/>
    <w:uiPriority w:val="62"/>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8064a2" w:space="0" w:sz="8" w:val="single"/>
          <w:left w:color="8064a2" w:space="0" w:sz="8" w:val="single"/>
          <w:bottom w:color="8064a2" w:space="0" w:sz="18" w:val="single"/>
          <w:right w:color="8064a2" w:space="0" w:sz="8" w:val="single"/>
          <w:insideH w:space="0" w:sz="0" w:val="nil"/>
          <w:insideV w:color="8064a2"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8064a2" w:space="0" w:sz="6" w:val="double"/>
          <w:left w:color="8064a2" w:space="0" w:sz="8" w:val="single"/>
          <w:bottom w:color="8064a2" w:space="0" w:sz="8" w:val="single"/>
          <w:right w:color="8064a2" w:space="0" w:sz="8" w:val="single"/>
          <w:insideH w:space="0" w:sz="0" w:val="nil"/>
          <w:insideV w:color="8064a2"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8064a2"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8064a2" w:space="0" w:sz="8" w:val="single"/>
        </w:tcBorders>
      </w:tcPr>
    </w:tblStylePr>
  </w:style>
  <w:style w:type="table" w:styleId="LightGrid-Accent5">
    <w:name w:val="Light Grid Accent 5"/>
    <w:basedOn w:val="TableNormal"/>
    <w:uiPriority w:val="62"/>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bacc6" w:space="0" w:sz="8" w:val="single"/>
          <w:left w:color="4bacc6" w:space="0" w:sz="8" w:val="single"/>
          <w:bottom w:color="4bacc6" w:space="0" w:sz="18" w:val="single"/>
          <w:right w:color="4bacc6" w:space="0" w:sz="8" w:val="single"/>
          <w:insideH w:space="0" w:sz="0" w:val="nil"/>
          <w:insideV w:color="4bacc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bacc6" w:space="0" w:sz="6" w:val="double"/>
          <w:left w:color="4bacc6" w:space="0" w:sz="8" w:val="single"/>
          <w:bottom w:color="4bacc6" w:space="0" w:sz="8" w:val="single"/>
          <w:right w:color="4bacc6" w:space="0" w:sz="8" w:val="single"/>
          <w:insideH w:space="0" w:sz="0" w:val="nil"/>
          <w:insideV w:color="4bacc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4bacc6"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4bacc6" w:space="0" w:sz="8" w:val="single"/>
        </w:tcBorders>
      </w:tcPr>
    </w:tblStylePr>
  </w:style>
  <w:style w:type="table" w:styleId="LightGrid-Accent6">
    <w:name w:val="Light Grid Accent 6"/>
    <w:basedOn w:val="TableNormal"/>
    <w:uiPriority w:val="62"/>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f79646" w:space="0" w:sz="8" w:val="single"/>
          <w:left w:color="f79646" w:space="0" w:sz="8" w:val="single"/>
          <w:bottom w:color="f79646" w:space="0" w:sz="18" w:val="single"/>
          <w:right w:color="f79646" w:space="0" w:sz="8" w:val="single"/>
          <w:insideH w:space="0" w:sz="0" w:val="nil"/>
          <w:insideV w:color="f7964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f79646" w:space="0" w:sz="6" w:val="double"/>
          <w:left w:color="f79646" w:space="0" w:sz="8" w:val="single"/>
          <w:bottom w:color="f79646" w:space="0" w:sz="8" w:val="single"/>
          <w:right w:color="f79646" w:space="0" w:sz="8" w:val="single"/>
          <w:insideH w:space="0" w:sz="0" w:val="nil"/>
          <w:insideV w:color="f7964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f79646" w:space="0" w:sz="8" w:val="single"/>
          <w:left w:color="f79646" w:space="0" w:sz="8" w:val="single"/>
          <w:bottom w:color="f79646" w:space="0" w:sz="8" w:val="single"/>
          <w:right w:color="f79646" w:space="0" w:sz="8" w:val="single"/>
        </w:tcBorders>
      </w:tcPr>
    </w:tblStylePr>
    <w:tblStylePr w:type="band1Vert">
      <w:tblPr/>
      <w:tcPr>
        <w:tcBorders>
          <w:top w:color="f79646" w:space="0" w:sz="8" w:val="single"/>
          <w:left w:color="f79646" w:space="0" w:sz="8" w:val="single"/>
          <w:bottom w:color="f79646" w:space="0" w:sz="8" w:val="single"/>
          <w:right w:color="f79646" w:space="0" w:sz="8" w:val="single"/>
        </w:tcBorders>
        <w:shd w:color="auto" w:fill="fde4d0" w:val="clear"/>
      </w:tcPr>
    </w:tblStylePr>
    <w:tblStylePr w:type="band1Horz">
      <w:tblPr/>
      <w:tcPr>
        <w:tcBorders>
          <w:top w:color="f79646" w:space="0" w:sz="8" w:val="single"/>
          <w:left w:color="f79646" w:space="0" w:sz="8" w:val="single"/>
          <w:bottom w:color="f79646" w:space="0" w:sz="8" w:val="single"/>
          <w:right w:color="f79646" w:space="0" w:sz="8" w:val="single"/>
          <w:insideV w:color="f79646" w:space="0" w:sz="8" w:val="single"/>
        </w:tcBorders>
        <w:shd w:color="auto" w:fill="fde4d0" w:val="clear"/>
      </w:tcPr>
    </w:tblStylePr>
    <w:tblStylePr w:type="band2Horz">
      <w:tblPr/>
      <w:tcPr>
        <w:tcBorders>
          <w:top w:color="f79646" w:space="0" w:sz="8" w:val="single"/>
          <w:left w:color="f79646" w:space="0" w:sz="8" w:val="single"/>
          <w:bottom w:color="f79646" w:space="0" w:sz="8" w:val="single"/>
          <w:right w:color="f79646" w:space="0" w:sz="8" w:val="single"/>
          <w:insideV w:color="f79646" w:space="0" w:sz="8" w:val="single"/>
        </w:tcBorders>
      </w:tcPr>
    </w:tblStylePr>
  </w:style>
  <w:style w:type="table" w:styleId="LightList">
    <w:name w:val="Light List"/>
    <w:basedOn w:val="TableNormal"/>
    <w:uiPriority w:val="61"/>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ghtList-Accent2">
    <w:name w:val="Light List Accent 2"/>
    <w:basedOn w:val="TableNormal"/>
    <w:uiPriority w:val="61"/>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Shading">
    <w:name w:val="Light Shading"/>
    <w:basedOn w:val="TableNormal"/>
    <w:uiPriority w:val="60"/>
    <w:rPr>
      <w:color w:val="000000"/>
    </w:rPr>
    <w:tblPr>
      <w:tblStyleRowBandSize w:val="1"/>
      <w:tblStyleColBandSize w:val="1"/>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LightShading-Accent1">
    <w:name w:val="Light Shading Accent 1"/>
    <w:basedOn w:val="TableNormal"/>
    <w:uiPriority w:val="60"/>
    <w:rPr>
      <w:color w:val="365f91"/>
    </w:rPr>
    <w:tblPr>
      <w:tblStyleRowBandSize w:val="1"/>
      <w:tblStyleColBandSize w:val="1"/>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rPr>
      <w:color w:val="943634"/>
    </w:rPr>
    <w:tblPr>
      <w:tblStyleRowBandSize w:val="1"/>
      <w:tblStyleColBandSize w:val="1"/>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left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rPr>
      <w:color w:val="76923c"/>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rPr>
      <w:color w:val="5f497a"/>
    </w:rPr>
    <w:tblPr>
      <w:tblStyleRowBandSize w:val="1"/>
      <w:tblStyleColBandSize w:val="1"/>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rPr>
      <w:color w:val="31849b"/>
    </w:rPr>
    <w:tblPr>
      <w:tblStyleRowBandSize w:val="1"/>
      <w:tblStyleColBandSize w:val="1"/>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left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rPr>
      <w:color w:val="e36c0a"/>
    </w:rPr>
    <w:tblPr>
      <w:tblStyleRowBandSize w:val="1"/>
      <w:tblStyleColBandSize w:val="1"/>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left w:space="0" w:sz="0" w:val="nil"/>
          <w:right w:space="0" w:sz="0" w:val="nil"/>
          <w:insideH w:space="0" w:sz="0" w:val="nil"/>
          <w:insideV w:space="0" w:sz="0" w:val="nil"/>
        </w:tcBorders>
        <w:shd w:color="auto" w:fill="fde4d0" w:val="clear"/>
      </w:tcPr>
    </w:tblStylePr>
  </w:style>
  <w:style w:type="character" w:styleId="LineNumber">
    <w:name w:val="line number"/>
  </w:style>
  <w:style w:type="paragraph" w:styleId="List">
    <w:name w:val="List"/>
    <w:basedOn w:val="Normal"/>
    <w:pPr>
      <w:ind w:left="283" w:hanging="283"/>
      <w:contextualSpacing w:val="1"/>
    </w:pPr>
  </w:style>
  <w:style w:type="paragraph" w:styleId="List2">
    <w:name w:val="List 2"/>
    <w:basedOn w:val="Normal"/>
    <w:pPr>
      <w:ind w:left="566" w:hanging="283"/>
      <w:contextualSpacing w:val="1"/>
    </w:pPr>
  </w:style>
  <w:style w:type="paragraph" w:styleId="List3">
    <w:name w:val="List 3"/>
    <w:basedOn w:val="Normal"/>
    <w:pPr>
      <w:ind w:left="849" w:hanging="283"/>
      <w:contextualSpacing w:val="1"/>
    </w:pPr>
  </w:style>
  <w:style w:type="paragraph" w:styleId="List4">
    <w:name w:val="List 4"/>
    <w:basedOn w:val="Normal"/>
    <w:pPr>
      <w:ind w:left="1132" w:hanging="283"/>
      <w:contextualSpacing w:val="1"/>
    </w:pPr>
  </w:style>
  <w:style w:type="paragraph" w:styleId="List5">
    <w:name w:val="List 5"/>
    <w:basedOn w:val="Normal"/>
    <w:pPr>
      <w:ind w:left="1415" w:hanging="283"/>
      <w:contextualSpacing w:val="1"/>
    </w:pPr>
  </w:style>
  <w:style w:type="paragraph" w:styleId="ListContinue">
    <w:name w:val="List Continue"/>
    <w:basedOn w:val="Normal"/>
    <w:pPr>
      <w:spacing w:after="120"/>
      <w:ind w:left="283"/>
      <w:contextualSpacing w:val="1"/>
    </w:pPr>
  </w:style>
  <w:style w:type="paragraph" w:styleId="ListContinue2">
    <w:name w:val="List Continue 2"/>
    <w:basedOn w:val="Normal"/>
    <w:pPr>
      <w:spacing w:after="120"/>
      <w:ind w:left="566"/>
      <w:contextualSpacing w:val="1"/>
    </w:pPr>
  </w:style>
  <w:style w:type="paragraph" w:styleId="ListContinue3">
    <w:name w:val="List Continue 3"/>
    <w:basedOn w:val="Normal"/>
    <w:pPr>
      <w:spacing w:after="120"/>
      <w:ind w:left="849"/>
      <w:contextualSpacing w:val="1"/>
    </w:pPr>
  </w:style>
  <w:style w:type="paragraph" w:styleId="ListContinue4">
    <w:name w:val="List Continue 4"/>
    <w:basedOn w:val="Normal"/>
    <w:pPr>
      <w:spacing w:after="120"/>
      <w:ind w:left="1132"/>
      <w:contextualSpacing w:val="1"/>
    </w:pPr>
  </w:style>
  <w:style w:type="paragraph" w:styleId="ListContinue5">
    <w:name w:val="List Continue 5"/>
    <w:basedOn w:val="Normal"/>
    <w:pPr>
      <w:spacing w:after="120"/>
      <w:ind w:left="1415"/>
      <w:contextualSpacing w:val="1"/>
    </w:pPr>
  </w:style>
  <w:style w:type="paragraph" w:styleId="ListNumber">
    <w:name w:val="List Number"/>
    <w:basedOn w:val="Normal"/>
    <w:pPr>
      <w:numPr>
        <w:numId w:val="9"/>
      </w:numPr>
      <w:contextualSpacing w:val="1"/>
    </w:pPr>
  </w:style>
  <w:style w:type="paragraph" w:styleId="ListNumber2">
    <w:name w:val="List Number 2"/>
    <w:basedOn w:val="Normal"/>
    <w:pPr>
      <w:numPr>
        <w:numId w:val="10"/>
      </w:numPr>
      <w:contextualSpacing w:val="1"/>
    </w:pPr>
  </w:style>
  <w:style w:type="paragraph" w:styleId="ListNumber3">
    <w:name w:val="List Number 3"/>
    <w:basedOn w:val="Normal"/>
    <w:pPr>
      <w:numPr>
        <w:numId w:val="11"/>
      </w:numPr>
      <w:contextualSpacing w:val="1"/>
    </w:pPr>
  </w:style>
  <w:style w:type="paragraph" w:styleId="ListNumber4">
    <w:name w:val="List Number 4"/>
    <w:basedOn w:val="Normal"/>
    <w:pPr>
      <w:numPr>
        <w:numId w:val="12"/>
      </w:numPr>
      <w:contextualSpacing w:val="1"/>
    </w:pPr>
  </w:style>
  <w:style w:type="paragraph" w:styleId="ListNumber5">
    <w:name w:val="List Number 5"/>
    <w:basedOn w:val="Normal"/>
    <w:pPr>
      <w:numPr>
        <w:numId w:val="13"/>
      </w:numPr>
      <w:contextualSpacing w:val="1"/>
    </w:pPr>
  </w:style>
  <w:style w:type="paragraph" w:styleId="ListParagraph">
    <w:name w:val="List Paragraph"/>
    <w:basedOn w:val="Normal"/>
    <w:uiPriority w:val="34"/>
    <w:qFormat w:val="1"/>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textAlignment w:val="baseline"/>
    </w:pPr>
    <w:rPr>
      <w:rFonts w:ascii="Courier New" w:cs="Courier New" w:hAnsi="Courier New"/>
      <w:lang w:eastAsia="en-US"/>
    </w:rPr>
  </w:style>
  <w:style w:type="character" w:styleId="MacroTextChar" w:customStyle="1">
    <w:name w:val="Macro Text Char"/>
    <w:link w:val="MacroText"/>
    <w:rPr>
      <w:rFonts w:ascii="Courier New" w:cs="Courier New" w:hAnsi="Courier New"/>
      <w:lang w:eastAsia="en-US"/>
    </w:rPr>
  </w:style>
  <w:style w:type="table" w:styleId="MediumGrid1">
    <w:name w:val="Medium Grid 1"/>
    <w:basedOn w:val="TableNormal"/>
    <w:uiPriority w:val="67"/>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4f81bd" w:space="0" w:sz="6" w:val="single"/>
          <w:insideV w:color="4f81bd"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c0504d" w:space="0" w:sz="6" w:val="single"/>
          <w:insideV w:color="c0504d"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cPr>
      <w:shd w:color="auto" w:fill="e6eed5" w:val="clear"/>
    </w:tcPr>
    <w:tblStylePr w:type="firstRow">
      <w:rPr>
        <w:b w:val="1"/>
        <w:bCs w:val="1"/>
        <w:color w:val="000000"/>
      </w:rPr>
      <w:tblPr/>
      <w:tcPr>
        <w:shd w:color="auto" w:fill="f5f8ee"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af1dd" w:val="clear"/>
      </w:tcPr>
    </w:tblStylePr>
    <w:tblStylePr w:type="band1Vert">
      <w:tblPr/>
      <w:tcPr>
        <w:shd w:color="auto" w:fill="cdddac" w:val="clear"/>
      </w:tcPr>
    </w:tblStylePr>
    <w:tblStylePr w:type="band1Horz">
      <w:tblPr/>
      <w:tcPr>
        <w:tcBorders>
          <w:insideH w:color="9bbb59" w:space="0" w:sz="6" w:val="single"/>
          <w:insideV w:color="9bbb59" w:space="0" w:sz="6" w:val="single"/>
        </w:tcBorders>
        <w:shd w:color="auto" w:fill="cdddac" w:val="clear"/>
      </w:tcPr>
    </w:tblStylePr>
    <w:tblStylePr w:type="nwCell">
      <w:tblPr/>
      <w:tcPr>
        <w:shd w:color="auto" w:fill="ffffff" w:val="clear"/>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8064a2" w:space="0" w:sz="6" w:val="single"/>
          <w:insideV w:color="8064a2"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4bacc6" w:space="0" w:sz="6" w:val="single"/>
          <w:insideV w:color="4bacc6"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cPr>
      <w:shd w:color="auto" w:fill="fde4d0" w:val="clear"/>
    </w:tcPr>
    <w:tblStylePr w:type="firstRow">
      <w:rPr>
        <w:b w:val="1"/>
        <w:bCs w:val="1"/>
        <w:color w:val="000000"/>
      </w:rPr>
      <w:tblPr/>
      <w:tcPr>
        <w:shd w:color="auto" w:fill="fef4ec"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de9d9" w:val="clear"/>
      </w:tcPr>
    </w:tblStylePr>
    <w:tblStylePr w:type="band1Vert">
      <w:tblPr/>
      <w:tcPr>
        <w:shd w:color="auto" w:fill="fbcaa2" w:val="clear"/>
      </w:tcPr>
    </w:tblStylePr>
    <w:tblStylePr w:type="band1Horz">
      <w:tblPr/>
      <w:tcPr>
        <w:tcBorders>
          <w:insideH w:color="f79646" w:space="0" w:sz="6" w:val="single"/>
          <w:insideV w:color="f79646" w:space="0" w:sz="6" w:val="single"/>
        </w:tcBorders>
        <w:shd w:color="auto" w:fill="fbcaa2" w:val="clear"/>
      </w:tcPr>
    </w:tblStylePr>
    <w:tblStylePr w:type="nwCell">
      <w:tblPr/>
      <w:tcPr>
        <w:shd w:color="auto" w:fill="ffffff" w:val="clear"/>
      </w:tcPr>
    </w:tblStylePr>
  </w:style>
  <w:style w:type="table" w:styleId="MediumGrid3">
    <w:name w:val="Medium Grid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000000"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808080" w:val="clear"/>
      </w:tcPr>
    </w:tblStylePr>
  </w:style>
  <w:style w:type="table" w:styleId="MediumGrid3-Accent1">
    <w:name w:val="Medium Grid 3 Accent 1"/>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f81b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7bfde" w:val="clear"/>
      </w:tcPr>
    </w:tblStylePr>
  </w:style>
  <w:style w:type="table" w:styleId="MediumGrid3-Accent2">
    <w:name w:val="Medium Grid 3 Accent 2"/>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c0504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dfa7a6" w:val="clear"/>
      </w:tcPr>
    </w:tblStylePr>
  </w:style>
  <w:style w:type="table" w:styleId="MediumGrid3-Accent3">
    <w:name w:val="Medium Grid 3 Accent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9bbb59"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cdddac" w:val="clear"/>
      </w:tcPr>
    </w:tblStylePr>
  </w:style>
  <w:style w:type="table" w:styleId="MediumGrid3-Accent4">
    <w:name w:val="Medium Grid 3 Accent 4"/>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8064a2"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bfb1d0" w:val="clear"/>
      </w:tcPr>
    </w:tblStylePr>
  </w:style>
  <w:style w:type="table" w:styleId="MediumGrid3-Accent5">
    <w:name w:val="Medium Grid 3 Accent 5"/>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bacc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5d5e2" w:val="clear"/>
      </w:tcPr>
    </w:tblStylePr>
  </w:style>
  <w:style w:type="table" w:styleId="MediumGrid3-Accent6">
    <w:name w:val="Medium Grid 3 Accent 6"/>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f7964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fbcaa2" w:val="clear"/>
      </w:tcPr>
    </w:tblStylePr>
  </w:style>
  <w:style w:type="table" w:styleId="MediumList1">
    <w:name w:val="Medium List 1"/>
    <w:basedOn w:val="TableNormal"/>
    <w:uiPriority w:val="65"/>
    <w:rPr>
      <w:color w:val="000000"/>
    </w:rPr>
    <w:tblPr>
      <w:tblStyleRowBandSize w:val="1"/>
      <w:tblStyleColBandSize w:val="1"/>
      <w:tblBorders>
        <w:top w:color="000000" w:space="0" w:sz="8" w:val="single"/>
        <w:bottom w:color="000000" w:space="0" w:sz="8" w:val="single"/>
      </w:tblBorders>
    </w:tblPr>
    <w:tblStylePr w:type="firstRow">
      <w:rPr>
        <w:rFonts w:ascii="Calibri Light" w:cs="Times New Roman" w:eastAsia="Times New Roman" w:hAnsi="Calibri Light"/>
      </w:rPr>
      <w:tblPr/>
      <w:tcPr>
        <w:tcBorders>
          <w:top w:space="0" w:sz="0" w:val="nil"/>
          <w:bottom w:color="000000" w:space="0" w:sz="8" w:val="single"/>
        </w:tcBorders>
      </w:tcPr>
    </w:tblStylePr>
    <w:tblStylePr w:type="lastRow">
      <w:rPr>
        <w:b w:val="1"/>
        <w:bCs w:val="1"/>
        <w:color w:val="1f497d"/>
      </w:rPr>
      <w:tblPr/>
      <w:tcPr>
        <w:tcBorders>
          <w:top w:color="000000" w:space="0" w:sz="8" w:val="single"/>
          <w:bottom w:color="000000" w:space="0" w:sz="8" w:val="single"/>
        </w:tcBorders>
      </w:tcPr>
    </w:tblStylePr>
    <w:tblStylePr w:type="firstCol">
      <w:rPr>
        <w:b w:val="1"/>
        <w:bCs w:val="1"/>
      </w:rPr>
    </w:tblStylePr>
    <w:tblStylePr w:type="lastCol">
      <w:rPr>
        <w:b w:val="1"/>
        <w:bCs w:val="1"/>
      </w:rPr>
      <w:tblPr/>
      <w:tcPr>
        <w:tcBorders>
          <w:top w:color="000000" w:space="0" w:sz="8" w:val="single"/>
          <w:bottom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rPr>
      <w:color w:val="000000"/>
    </w:rPr>
    <w:tblPr>
      <w:tblStyleRowBandSize w:val="1"/>
      <w:tblStyleColBandSize w:val="1"/>
      <w:tblBorders>
        <w:top w:color="4f81bd" w:space="0" w:sz="8" w:val="single"/>
        <w:bottom w:color="4f81bd" w:space="0" w:sz="8" w:val="single"/>
      </w:tblBorders>
    </w:tblPr>
    <w:tblStylePr w:type="firstRow">
      <w:rPr>
        <w:rFonts w:ascii="Calibri Light" w:cs="Times New Roman" w:eastAsia="Times New Roman" w:hAnsi="Calibri Light"/>
      </w:rPr>
      <w:tblPr/>
      <w:tcPr>
        <w:tcBorders>
          <w:top w:space="0" w:sz="0" w:val="nil"/>
          <w:bottom w:color="4f81bd" w:space="0" w:sz="8" w:val="single"/>
        </w:tcBorders>
      </w:tcPr>
    </w:tblStylePr>
    <w:tblStylePr w:type="lastRow">
      <w:rPr>
        <w:b w:val="1"/>
        <w:bCs w:val="1"/>
        <w:color w:val="1f497d"/>
      </w:rPr>
      <w:tblPr/>
      <w:tcPr>
        <w:tcBorders>
          <w:top w:color="4f81bd" w:space="0" w:sz="8" w:val="single"/>
          <w:bottom w:color="4f81bd" w:space="0" w:sz="8" w:val="single"/>
        </w:tcBorders>
      </w:tcPr>
    </w:tblStylePr>
    <w:tblStylePr w:type="firstCol">
      <w:rPr>
        <w:b w:val="1"/>
        <w:bCs w:val="1"/>
      </w:rPr>
    </w:tblStylePr>
    <w:tblStylePr w:type="lastCol">
      <w:rPr>
        <w:b w:val="1"/>
        <w:bCs w:val="1"/>
      </w:rPr>
      <w:tblPr/>
      <w:tcPr>
        <w:tcBorders>
          <w:top w:color="4f81bd" w:space="0" w:sz="8" w:val="single"/>
          <w:bottom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rPr>
      <w:color w:val="000000"/>
    </w:rPr>
    <w:tblPr>
      <w:tblStyleRowBandSize w:val="1"/>
      <w:tblStyleColBandSize w:val="1"/>
      <w:tblBorders>
        <w:top w:color="c0504d" w:space="0" w:sz="8" w:val="single"/>
        <w:bottom w:color="c0504d" w:space="0" w:sz="8" w:val="single"/>
      </w:tblBorders>
    </w:tblPr>
    <w:tblStylePr w:type="firstRow">
      <w:rPr>
        <w:rFonts w:ascii="Calibri Light" w:cs="Times New Roman" w:eastAsia="Times New Roman" w:hAnsi="Calibri Light"/>
      </w:rPr>
      <w:tblPr/>
      <w:tcPr>
        <w:tcBorders>
          <w:top w:space="0" w:sz="0" w:val="nil"/>
          <w:bottom w:color="c0504d" w:space="0" w:sz="8" w:val="single"/>
        </w:tcBorders>
      </w:tcPr>
    </w:tblStylePr>
    <w:tblStylePr w:type="lastRow">
      <w:rPr>
        <w:b w:val="1"/>
        <w:bCs w:val="1"/>
        <w:color w:val="1f497d"/>
      </w:rPr>
      <w:tblPr/>
      <w:tcPr>
        <w:tcBorders>
          <w:top w:color="c0504d" w:space="0" w:sz="8" w:val="single"/>
          <w:bottom w:color="c0504d" w:space="0" w:sz="8" w:val="single"/>
        </w:tcBorders>
      </w:tcPr>
    </w:tblStylePr>
    <w:tblStylePr w:type="firstCol">
      <w:rPr>
        <w:b w:val="1"/>
        <w:bCs w:val="1"/>
      </w:rPr>
    </w:tblStylePr>
    <w:tblStylePr w:type="lastCol">
      <w:rPr>
        <w:b w:val="1"/>
        <w:bCs w:val="1"/>
      </w:rPr>
      <w:tblPr/>
      <w:tcPr>
        <w:tcBorders>
          <w:top w:color="c0504d" w:space="0" w:sz="8" w:val="single"/>
          <w:bottom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rPr>
      <w:color w:val="000000"/>
    </w:rPr>
    <w:tblPr>
      <w:tblStyleRowBandSize w:val="1"/>
      <w:tblStyleColBandSize w:val="1"/>
      <w:tblBorders>
        <w:top w:color="9bbb59" w:space="0" w:sz="8" w:val="single"/>
        <w:bottom w:color="9bbb59" w:space="0" w:sz="8" w:val="single"/>
      </w:tblBorders>
    </w:tblPr>
    <w:tblStylePr w:type="firstRow">
      <w:rPr>
        <w:rFonts w:ascii="Calibri Light" w:cs="Times New Roman" w:eastAsia="Times New Roman" w:hAnsi="Calibri Light"/>
      </w:rPr>
      <w:tblPr/>
      <w:tcPr>
        <w:tcBorders>
          <w:top w:space="0" w:sz="0" w:val="nil"/>
          <w:bottom w:color="9bbb59" w:space="0" w:sz="8" w:val="single"/>
        </w:tcBorders>
      </w:tcPr>
    </w:tblStylePr>
    <w:tblStylePr w:type="lastRow">
      <w:rPr>
        <w:b w:val="1"/>
        <w:bCs w:val="1"/>
        <w:color w:val="1f497d"/>
      </w:rPr>
      <w:tblPr/>
      <w:tcPr>
        <w:tcBorders>
          <w:top w:color="9bbb59" w:space="0" w:sz="8" w:val="single"/>
          <w:bottom w:color="9bbb59" w:space="0" w:sz="8" w:val="single"/>
        </w:tcBorders>
      </w:tcPr>
    </w:tblStylePr>
    <w:tblStylePr w:type="firstCol">
      <w:rPr>
        <w:b w:val="1"/>
        <w:bCs w:val="1"/>
      </w:rPr>
    </w:tblStylePr>
    <w:tblStylePr w:type="lastCol">
      <w:rPr>
        <w:b w:val="1"/>
        <w:bCs w:val="1"/>
      </w:rPr>
      <w:tblPr/>
      <w:tcPr>
        <w:tcBorders>
          <w:top w:color="9bbb59" w:space="0" w:sz="8" w:val="single"/>
          <w:bottom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rPr>
      <w:color w:val="000000"/>
    </w:rPr>
    <w:tblPr>
      <w:tblStyleRowBandSize w:val="1"/>
      <w:tblStyleColBandSize w:val="1"/>
      <w:tblBorders>
        <w:top w:color="8064a2" w:space="0" w:sz="8" w:val="single"/>
        <w:bottom w:color="8064a2" w:space="0" w:sz="8" w:val="single"/>
      </w:tblBorders>
    </w:tblPr>
    <w:tblStylePr w:type="firstRow">
      <w:rPr>
        <w:rFonts w:ascii="Calibri Light" w:cs="Times New Roman" w:eastAsia="Times New Roman" w:hAnsi="Calibri Light"/>
      </w:rPr>
      <w:tblPr/>
      <w:tcPr>
        <w:tcBorders>
          <w:top w:space="0" w:sz="0" w:val="nil"/>
          <w:bottom w:color="8064a2" w:space="0" w:sz="8" w:val="single"/>
        </w:tcBorders>
      </w:tcPr>
    </w:tblStylePr>
    <w:tblStylePr w:type="lastRow">
      <w:rPr>
        <w:b w:val="1"/>
        <w:bCs w:val="1"/>
        <w:color w:val="1f497d"/>
      </w:rPr>
      <w:tblPr/>
      <w:tcPr>
        <w:tcBorders>
          <w:top w:color="8064a2" w:space="0" w:sz="8" w:val="single"/>
          <w:bottom w:color="8064a2" w:space="0" w:sz="8" w:val="single"/>
        </w:tcBorders>
      </w:tcPr>
    </w:tblStylePr>
    <w:tblStylePr w:type="firstCol">
      <w:rPr>
        <w:b w:val="1"/>
        <w:bCs w:val="1"/>
      </w:rPr>
    </w:tblStylePr>
    <w:tblStylePr w:type="lastCol">
      <w:rPr>
        <w:b w:val="1"/>
        <w:bCs w:val="1"/>
      </w:rPr>
      <w:tblPr/>
      <w:tcPr>
        <w:tcBorders>
          <w:top w:color="8064a2" w:space="0" w:sz="8" w:val="single"/>
          <w:bottom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rPr>
      <w:color w:val="000000"/>
    </w:rPr>
    <w:tblPr>
      <w:tblStyleRowBandSize w:val="1"/>
      <w:tblStyleColBandSize w:val="1"/>
      <w:tblBorders>
        <w:top w:color="4bacc6" w:space="0" w:sz="8" w:val="single"/>
        <w:bottom w:color="4bacc6" w:space="0" w:sz="8" w:val="single"/>
      </w:tblBorders>
    </w:tblPr>
    <w:tblStylePr w:type="firstRow">
      <w:rPr>
        <w:rFonts w:ascii="Calibri Light" w:cs="Times New Roman" w:eastAsia="Times New Roman" w:hAnsi="Calibri Light"/>
      </w:rPr>
      <w:tblPr/>
      <w:tcPr>
        <w:tcBorders>
          <w:top w:space="0" w:sz="0" w:val="nil"/>
          <w:bottom w:color="4bacc6" w:space="0" w:sz="8" w:val="single"/>
        </w:tcBorders>
      </w:tcPr>
    </w:tblStylePr>
    <w:tblStylePr w:type="lastRow">
      <w:rPr>
        <w:b w:val="1"/>
        <w:bCs w:val="1"/>
        <w:color w:val="1f497d"/>
      </w:rPr>
      <w:tblPr/>
      <w:tcPr>
        <w:tcBorders>
          <w:top w:color="4bacc6" w:space="0" w:sz="8" w:val="single"/>
          <w:bottom w:color="4bacc6" w:space="0" w:sz="8" w:val="single"/>
        </w:tcBorders>
      </w:tcPr>
    </w:tblStylePr>
    <w:tblStylePr w:type="firstCol">
      <w:rPr>
        <w:b w:val="1"/>
        <w:bCs w:val="1"/>
      </w:rPr>
    </w:tblStylePr>
    <w:tblStylePr w:type="lastCol">
      <w:rPr>
        <w:b w:val="1"/>
        <w:bCs w:val="1"/>
      </w:rPr>
      <w:tblPr/>
      <w:tcPr>
        <w:tcBorders>
          <w:top w:color="4bacc6" w:space="0" w:sz="8" w:val="single"/>
          <w:bottom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rPr>
      <w:color w:val="000000"/>
    </w:rPr>
    <w:tblPr>
      <w:tblStyleRowBandSize w:val="1"/>
      <w:tblStyleColBandSize w:val="1"/>
      <w:tblBorders>
        <w:top w:color="f79646" w:space="0" w:sz="8" w:val="single"/>
        <w:bottom w:color="f79646" w:space="0" w:sz="8" w:val="single"/>
      </w:tblBorders>
    </w:tblPr>
    <w:tblStylePr w:type="firstRow">
      <w:rPr>
        <w:rFonts w:ascii="Calibri Light" w:cs="Times New Roman" w:eastAsia="Times New Roman" w:hAnsi="Calibri Light"/>
      </w:rPr>
      <w:tblPr/>
      <w:tcPr>
        <w:tcBorders>
          <w:top w:space="0" w:sz="0" w:val="nil"/>
          <w:bottom w:color="f79646" w:space="0" w:sz="8" w:val="single"/>
        </w:tcBorders>
      </w:tcPr>
    </w:tblStylePr>
    <w:tblStylePr w:type="lastRow">
      <w:rPr>
        <w:b w:val="1"/>
        <w:bCs w:val="1"/>
        <w:color w:val="1f497d"/>
      </w:rPr>
      <w:tblPr/>
      <w:tcPr>
        <w:tcBorders>
          <w:top w:color="f79646" w:space="0" w:sz="8" w:val="single"/>
          <w:bottom w:color="f79646" w:space="0" w:sz="8" w:val="single"/>
        </w:tcBorders>
      </w:tcPr>
    </w:tblStylePr>
    <w:tblStylePr w:type="firstCol">
      <w:rPr>
        <w:b w:val="1"/>
        <w:bCs w:val="1"/>
      </w:rPr>
    </w:tblStylePr>
    <w:tblStylePr w:type="lastCol">
      <w:rPr>
        <w:b w:val="1"/>
        <w:bCs w:val="1"/>
      </w:rPr>
      <w:tblPr/>
      <w:tcPr>
        <w:tcBorders>
          <w:top w:color="f79646" w:space="0" w:sz="8" w:val="single"/>
          <w:bottom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space="0" w:sz="0" w:val="nil"/>
          <w:bottom w:color="000000" w:space="0" w:sz="24" w:val="single"/>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color="000000"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top w:space="0" w:sz="0" w:val="nil"/>
          <w:bottom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space="0" w:sz="0" w:val="nil"/>
          <w:bottom w:color="4f81bd" w:space="0" w:sz="24" w:val="single"/>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color="4f81b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top w:space="0" w:sz="0" w:val="nil"/>
          <w:bottom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color="c0504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top w:space="0" w:sz="0" w:val="nil"/>
          <w:bottom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color="9bbb59"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top w:space="0" w:sz="0" w:val="nil"/>
          <w:bottom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color="8064a2"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top w:space="0" w:sz="0" w:val="nil"/>
          <w:bottom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color="4bacc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top w:space="0" w:sz="0" w:val="nil"/>
          <w:bottom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color="f7964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top w:space="0" w:sz="0" w:val="nil"/>
          <w:bottom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Shading1">
    <w:name w:val="Medium Shading 1"/>
    <w:basedOn w:val="TableNormal"/>
    <w:uiPriority w:val="63"/>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tblBorders>
    </w:tblPr>
    <w:tblStylePr w:type="firstRow">
      <w:pPr>
        <w:spacing w:after="0" w:before="0" w:line="240" w:lineRule="auto"/>
      </w:pPr>
      <w:rPr>
        <w:b w:val="1"/>
        <w:bCs w:val="1"/>
        <w:color w:val="ffffff"/>
      </w:rPr>
      <w:tblPr/>
      <w:tcPr>
        <w:tcBorders>
          <w:top w:color="cf7b79" w:space="0" w:sz="8" w:val="single"/>
          <w:left w:color="cf7b79" w:space="0" w:sz="8" w:val="single"/>
          <w:bottom w:color="cf7b79" w:space="0" w:sz="8" w:val="single"/>
          <w:right w:color="cf7b79" w:space="0" w:sz="8" w:val="single"/>
          <w:insideH w:space="0" w:sz="0" w:val="nil"/>
          <w:insideV w:space="0" w:sz="0" w:val="nil"/>
        </w:tcBorders>
        <w:shd w:color="auto" w:fill="c0504d" w:val="clear"/>
      </w:tcPr>
    </w:tblStylePr>
    <w:tblStylePr w:type="lastRow">
      <w:pPr>
        <w:spacing w:after="0" w:before="0" w:line="240" w:lineRule="auto"/>
      </w:pPr>
      <w:rPr>
        <w:b w:val="1"/>
        <w:bCs w:val="1"/>
      </w:rPr>
      <w:tblPr/>
      <w:tcPr>
        <w:tcBorders>
          <w:top w:color="cf7b79" w:space="0" w:sz="6" w:val="double"/>
          <w:left w:color="cf7b79" w:space="0" w:sz="8" w:val="single"/>
          <w:bottom w:color="cf7b79" w:space="0" w:sz="8" w:val="single"/>
          <w:right w:color="cf7b7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val="clear"/>
      </w:tcPr>
    </w:tblStylePr>
    <w:tblStylePr w:type="band1Horz">
      <w:tblPr/>
      <w:tcPr>
        <w:tcBorders>
          <w:insideH w:space="0" w:sz="0" w:val="nil"/>
          <w:insideV w:space="0" w:sz="0" w:val="nil"/>
        </w:tcBorders>
        <w:shd w:color="auto" w:fill="efd3d2"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000000" w:val="clear"/>
      </w:tcPr>
    </w:tblStylePr>
    <w:tblStylePr w:type="lastCol">
      <w:rPr>
        <w:b w:val="1"/>
        <w:bCs w:val="1"/>
        <w:color w:val="ffffff"/>
      </w:rPr>
      <w:tblPr/>
      <w:tcPr>
        <w:tcBorders>
          <w:left w:space="0" w:sz="0" w:val="nil"/>
          <w:right w:space="0" w:sz="0" w:val="nil"/>
          <w:insideH w:space="0" w:sz="0" w:val="nil"/>
          <w:insideV w:space="0" w:sz="0" w:val="nil"/>
        </w:tcBorders>
        <w:shd w:color="auto" w:fill="000000"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f81bd" w:val="clear"/>
      </w:tcPr>
    </w:tblStylePr>
    <w:tblStylePr w:type="lastCol">
      <w:rPr>
        <w:b w:val="1"/>
        <w:bCs w:val="1"/>
        <w:color w:val="ffffff"/>
      </w:rPr>
      <w:tblPr/>
      <w:tcPr>
        <w:tcBorders>
          <w:left w:space="0" w:sz="0" w:val="nil"/>
          <w:right w:space="0" w:sz="0" w:val="nil"/>
          <w:insideH w:space="0" w:sz="0" w:val="nil"/>
          <w:insideV w:space="0" w:sz="0" w:val="nil"/>
        </w:tcBorders>
        <w:shd w:color="auto" w:fill="4f81b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c0504d" w:val="clear"/>
      </w:tcPr>
    </w:tblStylePr>
    <w:tblStylePr w:type="lastCol">
      <w:rPr>
        <w:b w:val="1"/>
        <w:bCs w:val="1"/>
        <w:color w:val="ffffff"/>
      </w:rPr>
      <w:tblPr/>
      <w:tcPr>
        <w:tcBorders>
          <w:left w:space="0" w:sz="0" w:val="nil"/>
          <w:right w:space="0" w:sz="0" w:val="nil"/>
          <w:insideH w:space="0" w:sz="0" w:val="nil"/>
          <w:insideV w:space="0" w:sz="0" w:val="nil"/>
        </w:tcBorders>
        <w:shd w:color="auto" w:fill="c0504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9bbb59" w:val="clear"/>
      </w:tcPr>
    </w:tblStylePr>
    <w:tblStylePr w:type="lastCol">
      <w:rPr>
        <w:b w:val="1"/>
        <w:bCs w:val="1"/>
        <w:color w:val="ffffff"/>
      </w:rPr>
      <w:tblPr/>
      <w:tcPr>
        <w:tcBorders>
          <w:left w:space="0" w:sz="0" w:val="nil"/>
          <w:right w:space="0" w:sz="0" w:val="nil"/>
          <w:insideH w:space="0" w:sz="0" w:val="nil"/>
          <w:insideV w:space="0" w:sz="0" w:val="nil"/>
        </w:tcBorders>
        <w:shd w:color="auto" w:fill="9bbb59"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8064a2" w:val="clear"/>
      </w:tcPr>
    </w:tblStylePr>
    <w:tblStylePr w:type="lastCol">
      <w:rPr>
        <w:b w:val="1"/>
        <w:bCs w:val="1"/>
        <w:color w:val="ffffff"/>
      </w:rPr>
      <w:tblPr/>
      <w:tcPr>
        <w:tcBorders>
          <w:left w:space="0" w:sz="0" w:val="nil"/>
          <w:right w:space="0" w:sz="0" w:val="nil"/>
          <w:insideH w:space="0" w:sz="0" w:val="nil"/>
          <w:insideV w:space="0" w:sz="0" w:val="nil"/>
        </w:tcBorders>
        <w:shd w:color="auto" w:fill="8064a2"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bacc6" w:val="clear"/>
      </w:tcPr>
    </w:tblStylePr>
    <w:tblStylePr w:type="lastCol">
      <w:rPr>
        <w:b w:val="1"/>
        <w:bCs w:val="1"/>
        <w:color w:val="ffffff"/>
      </w:rPr>
      <w:tblPr/>
      <w:tcPr>
        <w:tcBorders>
          <w:left w:space="0" w:sz="0" w:val="nil"/>
          <w:right w:space="0" w:sz="0" w:val="nil"/>
          <w:insideH w:space="0" w:sz="0" w:val="nil"/>
          <w:insideV w:space="0" w:sz="0" w:val="nil"/>
        </w:tcBorders>
        <w:shd w:color="auto" w:fill="4bacc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f7964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f79646" w:val="clear"/>
      </w:tcPr>
    </w:tblStylePr>
    <w:tblStylePr w:type="lastCol">
      <w:rPr>
        <w:b w:val="1"/>
        <w:bCs w:val="1"/>
        <w:color w:val="ffffff"/>
      </w:rPr>
      <w:tblPr/>
      <w:tcPr>
        <w:tcBorders>
          <w:left w:space="0" w:sz="0" w:val="nil"/>
          <w:right w:space="0" w:sz="0" w:val="nil"/>
          <w:insideH w:space="0" w:sz="0" w:val="nil"/>
          <w:insideV w:space="0" w:sz="0" w:val="nil"/>
        </w:tcBorders>
        <w:shd w:color="auto" w:fill="f7964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pPr>
      <w:pBdr>
        <w:top w:color="auto" w:space="1" w:sz="6" w:val="single"/>
        <w:left w:color="auto" w:space="1" w:sz="6" w:val="single"/>
        <w:bottom w:color="auto" w:space="1" w:sz="6" w:val="single"/>
        <w:right w:color="auto" w:space="1" w:sz="6" w:val="single"/>
      </w:pBdr>
      <w:shd w:color="auto" w:fill="auto" w:val="pct20"/>
      <w:ind w:left="1134" w:hanging="1134"/>
    </w:pPr>
    <w:rPr>
      <w:rFonts w:ascii="Cambria" w:hAnsi="Cambria"/>
      <w:sz w:val="24"/>
      <w:szCs w:val="24"/>
    </w:rPr>
  </w:style>
  <w:style w:type="character" w:styleId="MessageHeaderChar" w:customStyle="1">
    <w:name w:val="Message Header Char"/>
    <w:link w:val="MessageHeader"/>
    <w:rPr>
      <w:rFonts w:ascii="Cambria" w:cs="Times New Roman" w:eastAsia="Times New Roman" w:hAnsi="Cambria"/>
      <w:sz w:val="24"/>
      <w:szCs w:val="24"/>
      <w:shd w:color="auto" w:fill="auto" w:val="pct20"/>
      <w:lang w:eastAsia="en-US"/>
    </w:rPr>
  </w:style>
  <w:style w:type="paragraph" w:styleId="NoSpacing">
    <w:name w:val="No Spacing"/>
    <w:uiPriority w:val="1"/>
    <w:qFormat w:val="1"/>
    <w:pPr>
      <w:overflowPunct w:val="0"/>
      <w:autoSpaceDE w:val="0"/>
      <w:autoSpaceDN w:val="0"/>
      <w:adjustRightInd w:val="0"/>
      <w:jc w:val="both"/>
      <w:textAlignment w:val="baseline"/>
    </w:pPr>
    <w:rPr>
      <w:sz w:val="22"/>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styleId="NoteHeadingChar" w:customStyle="1">
    <w:name w:val="Note Heading Char"/>
    <w:link w:val="NoteHeading"/>
    <w:rPr>
      <w:sz w:val="22"/>
      <w:lang w:eastAsia="en-US"/>
    </w:rPr>
  </w:style>
  <w:style w:type="character" w:styleId="PlaceholderText">
    <w:name w:val="Placeholder Text"/>
    <w:uiPriority w:val="99"/>
    <w:semiHidden w:val="1"/>
    <w:rPr>
      <w:color w:val="808080"/>
    </w:rPr>
  </w:style>
  <w:style w:type="paragraph" w:styleId="PlainText">
    <w:name w:val="Plain Text"/>
    <w:basedOn w:val="Normal"/>
    <w:link w:val="PlainTextChar"/>
    <w:rPr>
      <w:rFonts w:ascii="Courier New" w:cs="Courier New" w:hAnsi="Courier New"/>
      <w:sz w:val="20"/>
    </w:rPr>
  </w:style>
  <w:style w:type="character" w:styleId="PlainTextChar" w:customStyle="1">
    <w:name w:val="Plain Text Char"/>
    <w:link w:val="PlainText"/>
    <w:rPr>
      <w:rFonts w:ascii="Courier New" w:cs="Courier New" w:hAnsi="Courier New"/>
      <w:lang w:eastAsia="en-US"/>
    </w:rPr>
  </w:style>
  <w:style w:type="paragraph" w:styleId="Quote">
    <w:name w:val="Quote"/>
    <w:basedOn w:val="Normal"/>
    <w:next w:val="Normal"/>
    <w:link w:val="QuoteChar"/>
    <w:uiPriority w:val="29"/>
    <w:qFormat w:val="1"/>
    <w:rPr>
      <w:i w:val="1"/>
      <w:iCs w:val="1"/>
      <w:color w:val="000000"/>
    </w:rPr>
  </w:style>
  <w:style w:type="character" w:styleId="QuoteChar" w:customStyle="1">
    <w:name w:val="Quote Char"/>
    <w:link w:val="Quote"/>
    <w:uiPriority w:val="29"/>
    <w:rPr>
      <w:i w:val="1"/>
      <w:iCs w:val="1"/>
      <w:color w:val="000000"/>
      <w:sz w:val="22"/>
      <w:lang w:eastAsia="en-US"/>
    </w:rPr>
  </w:style>
  <w:style w:type="paragraph" w:styleId="Salutation">
    <w:name w:val="Salutation"/>
    <w:basedOn w:val="Normal"/>
    <w:next w:val="Normal"/>
    <w:link w:val="SalutationChar"/>
  </w:style>
  <w:style w:type="character" w:styleId="SalutationChar" w:customStyle="1">
    <w:name w:val="Salutation Char"/>
    <w:link w:val="Salutation"/>
    <w:rPr>
      <w:sz w:val="22"/>
      <w:lang w:eastAsia="en-US"/>
    </w:rPr>
  </w:style>
  <w:style w:type="paragraph" w:styleId="Signature">
    <w:name w:val="Signature"/>
    <w:basedOn w:val="Normal"/>
    <w:link w:val="SignatureChar"/>
    <w:pPr>
      <w:ind w:left="4252"/>
    </w:pPr>
  </w:style>
  <w:style w:type="character" w:styleId="SignatureChar" w:customStyle="1">
    <w:name w:val="Signature Char"/>
    <w:link w:val="Signature"/>
    <w:rPr>
      <w:sz w:val="22"/>
      <w:lang w:eastAsia="en-US"/>
    </w:rPr>
  </w:style>
  <w:style w:type="character" w:styleId="Strong">
    <w:name w:val="Strong"/>
    <w:qFormat w:val="1"/>
    <w:rPr>
      <w:b w:val="1"/>
      <w:bCs w:val="1"/>
    </w:rPr>
  </w:style>
  <w:style w:type="paragraph" w:styleId="Subtitle">
    <w:name w:val="Subtitle"/>
    <w:basedOn w:val="Normal"/>
    <w:next w:val="Normal"/>
    <w:link w:val="SubtitleChar"/>
    <w:qFormat w:val="1"/>
    <w:pPr>
      <w:spacing w:after="60"/>
      <w:jc w:val="center"/>
      <w:outlineLvl w:val="1"/>
    </w:pPr>
    <w:rPr>
      <w:rFonts w:ascii="Cambria" w:hAnsi="Cambria"/>
      <w:sz w:val="24"/>
      <w:szCs w:val="24"/>
    </w:rPr>
  </w:style>
  <w:style w:type="character" w:styleId="SubtitleChar" w:customStyle="1">
    <w:name w:val="Subtitle Char"/>
    <w:link w:val="Subtitle"/>
    <w:rPr>
      <w:rFonts w:ascii="Cambria" w:cs="Times New Roman" w:eastAsia="Times New Roman" w:hAnsi="Cambria"/>
      <w:sz w:val="24"/>
      <w:szCs w:val="24"/>
      <w:lang w:eastAsia="en-US"/>
    </w:rPr>
  </w:style>
  <w:style w:type="character" w:styleId="SubtleEmphasis">
    <w:name w:val="Subtle Emphasis"/>
    <w:uiPriority w:val="19"/>
    <w:qFormat w:val="1"/>
    <w:rPr>
      <w:i w:val="1"/>
      <w:iCs w:val="1"/>
      <w:color w:val="808080"/>
    </w:rPr>
  </w:style>
  <w:style w:type="character" w:styleId="SubtleReference">
    <w:name w:val="Subtle Reference"/>
    <w:uiPriority w:val="31"/>
    <w:qFormat w:val="1"/>
    <w:rPr>
      <w:smallCaps w:val="1"/>
      <w:color w:val="c0504d"/>
      <w:u w:val="single"/>
    </w:rPr>
  </w:style>
  <w:style w:type="table" w:styleId="Table3Deffects1">
    <w:name w:val="Table 3D effects 1"/>
    <w:basedOn w:val="TableNormal"/>
    <w:pPr>
      <w:overflowPunct w:val="0"/>
      <w:autoSpaceDE w:val="0"/>
      <w:autoSpaceDN w:val="0"/>
      <w:adjustRightInd w:val="0"/>
      <w:spacing w:after="240" w:line="360" w:lineRule="auto"/>
      <w:jc w:val="both"/>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pPr>
      <w:overflowPunct w:val="0"/>
      <w:autoSpaceDE w:val="0"/>
      <w:autoSpaceDN w:val="0"/>
      <w:adjustRightInd w:val="0"/>
      <w:spacing w:after="240" w:line="360" w:lineRule="auto"/>
      <w:jc w:val="both"/>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pPr>
      <w:overflowPunct w:val="0"/>
      <w:autoSpaceDE w:val="0"/>
      <w:autoSpaceDN w:val="0"/>
      <w:adjustRightInd w:val="0"/>
      <w:spacing w:after="240" w:line="360" w:lineRule="auto"/>
      <w:jc w:val="both"/>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pPr>
      <w:overflowPunct w:val="0"/>
      <w:autoSpaceDE w:val="0"/>
      <w:autoSpaceDN w:val="0"/>
      <w:adjustRightInd w:val="0"/>
      <w:spacing w:after="240" w:line="360" w:lineRule="auto"/>
      <w:jc w:val="both"/>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pPr>
      <w:overflowPunct w:val="0"/>
      <w:autoSpaceDE w:val="0"/>
      <w:autoSpaceDN w:val="0"/>
      <w:adjustRightInd w:val="0"/>
      <w:spacing w:after="240" w:line="360" w:lineRule="auto"/>
      <w:jc w:val="both"/>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pPr>
      <w:overflowPunct w:val="0"/>
      <w:autoSpaceDE w:val="0"/>
      <w:autoSpaceDN w:val="0"/>
      <w:adjustRightInd w:val="0"/>
      <w:spacing w:after="240" w:line="360" w:lineRule="auto"/>
      <w:jc w:val="both"/>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pPr>
      <w:overflowPunct w:val="0"/>
      <w:autoSpaceDE w:val="0"/>
      <w:autoSpaceDN w:val="0"/>
      <w:adjustRightInd w:val="0"/>
      <w:spacing w:after="240" w:line="360" w:lineRule="auto"/>
      <w:jc w:val="both"/>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pPr>
      <w:overflowPunct w:val="0"/>
      <w:autoSpaceDE w:val="0"/>
      <w:autoSpaceDN w:val="0"/>
      <w:adjustRightInd w:val="0"/>
      <w:spacing w:after="240" w:line="360" w:lineRule="auto"/>
      <w:jc w:val="both"/>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pPr>
      <w:overflowPunct w:val="0"/>
      <w:autoSpaceDE w:val="0"/>
      <w:autoSpaceDN w:val="0"/>
      <w:adjustRightInd w:val="0"/>
      <w:spacing w:after="240" w:line="360" w:lineRule="auto"/>
      <w:jc w:val="both"/>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pPr>
      <w:overflowPunct w:val="0"/>
      <w:autoSpaceDE w:val="0"/>
      <w:autoSpaceDN w:val="0"/>
      <w:adjustRightInd w:val="0"/>
      <w:spacing w:after="240" w:line="360" w:lineRule="auto"/>
      <w:jc w:val="both"/>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pPr>
      <w:overflowPunct w:val="0"/>
      <w:autoSpaceDE w:val="0"/>
      <w:autoSpaceDN w:val="0"/>
      <w:adjustRightInd w:val="0"/>
      <w:spacing w:after="240" w:line="360" w:lineRule="auto"/>
      <w:jc w:val="both"/>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pPr>
      <w:overflowPunct w:val="0"/>
      <w:autoSpaceDE w:val="0"/>
      <w:autoSpaceDN w:val="0"/>
      <w:adjustRightInd w:val="0"/>
      <w:spacing w:after="240" w:line="360" w:lineRule="auto"/>
      <w:jc w:val="both"/>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pPr>
      <w:overflowPunct w:val="0"/>
      <w:autoSpaceDE w:val="0"/>
      <w:autoSpaceDN w:val="0"/>
      <w:adjustRightInd w:val="0"/>
      <w:spacing w:after="240" w:line="360" w:lineRule="auto"/>
      <w:jc w:val="both"/>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pPr>
      <w:overflowPunct w:val="0"/>
      <w:autoSpaceDE w:val="0"/>
      <w:autoSpaceDN w:val="0"/>
      <w:adjustRightInd w:val="0"/>
      <w:spacing w:after="240" w:line="360" w:lineRule="auto"/>
      <w:jc w:val="both"/>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pPr>
      <w:overflowPunct w:val="0"/>
      <w:autoSpaceDE w:val="0"/>
      <w:autoSpaceDN w:val="0"/>
      <w:adjustRightInd w:val="0"/>
      <w:spacing w:after="240" w:line="360" w:lineRule="auto"/>
      <w:jc w:val="both"/>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pPr>
      <w:overflowPunct w:val="0"/>
      <w:autoSpaceDE w:val="0"/>
      <w:autoSpaceDN w:val="0"/>
      <w:adjustRightInd w:val="0"/>
      <w:spacing w:after="240" w:line="360" w:lineRule="auto"/>
      <w:jc w:val="both"/>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pPr>
      <w:overflowPunct w:val="0"/>
      <w:autoSpaceDE w:val="0"/>
      <w:autoSpaceDN w:val="0"/>
      <w:adjustRightInd w:val="0"/>
      <w:spacing w:after="240" w:line="360" w:lineRule="auto"/>
      <w:jc w:val="both"/>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pPr>
      <w:overflowPunct w:val="0"/>
      <w:autoSpaceDE w:val="0"/>
      <w:autoSpaceDN w:val="0"/>
      <w:adjustRightInd w:val="0"/>
      <w:spacing w:after="240" w:line="360" w:lineRule="auto"/>
      <w:jc w:val="both"/>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pPr>
      <w:overflowPunct w:val="0"/>
      <w:autoSpaceDE w:val="0"/>
      <w:autoSpaceDN w:val="0"/>
      <w:adjustRightInd w:val="0"/>
      <w:spacing w:after="240" w:line="360" w:lineRule="auto"/>
      <w:jc w:val="both"/>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pPr>
      <w:overflowPunct w:val="0"/>
      <w:autoSpaceDE w:val="0"/>
      <w:autoSpaceDN w:val="0"/>
      <w:adjustRightInd w:val="0"/>
      <w:spacing w:after="240" w:line="360" w:lineRule="auto"/>
      <w:jc w:val="both"/>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pPr>
      <w:overflowPunct w:val="0"/>
      <w:autoSpaceDE w:val="0"/>
      <w:autoSpaceDN w:val="0"/>
      <w:adjustRightInd w:val="0"/>
      <w:spacing w:after="240" w:line="360" w:lineRule="auto"/>
      <w:jc w:val="both"/>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pPr>
      <w:overflowPunct w:val="0"/>
      <w:autoSpaceDE w:val="0"/>
      <w:autoSpaceDN w:val="0"/>
      <w:adjustRightInd w:val="0"/>
      <w:spacing w:after="240" w:line="360" w:lineRule="auto"/>
      <w:jc w:val="both"/>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pPr>
      <w:overflowPunct w:val="0"/>
      <w:autoSpaceDE w:val="0"/>
      <w:autoSpaceDN w:val="0"/>
      <w:adjustRightInd w:val="0"/>
      <w:spacing w:after="240" w:line="360" w:lineRule="auto"/>
      <w:jc w:val="both"/>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pPr>
      <w:overflowPunct w:val="0"/>
      <w:autoSpaceDE w:val="0"/>
      <w:autoSpaceDN w:val="0"/>
      <w:adjustRightInd w:val="0"/>
      <w:spacing w:after="240" w:line="360" w:lineRule="auto"/>
      <w:jc w:val="both"/>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pPr>
      <w:overflowPunct w:val="0"/>
      <w:autoSpaceDE w:val="0"/>
      <w:autoSpaceDN w:val="0"/>
      <w:adjustRightInd w:val="0"/>
      <w:spacing w:after="240" w:line="360" w:lineRule="auto"/>
      <w:jc w:val="both"/>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pPr>
      <w:overflowPunct w:val="0"/>
      <w:autoSpaceDE w:val="0"/>
      <w:autoSpaceDN w:val="0"/>
      <w:adjustRightInd w:val="0"/>
      <w:spacing w:after="240" w:line="360" w:lineRule="auto"/>
      <w:jc w:val="both"/>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pPr>
      <w:overflowPunct w:val="0"/>
      <w:autoSpaceDE w:val="0"/>
      <w:autoSpaceDN w:val="0"/>
      <w:adjustRightInd w:val="0"/>
      <w:spacing w:after="240" w:line="360" w:lineRule="auto"/>
      <w:jc w:val="both"/>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pPr>
      <w:overflowPunct w:val="0"/>
      <w:autoSpaceDE w:val="0"/>
      <w:autoSpaceDN w:val="0"/>
      <w:adjustRightInd w:val="0"/>
      <w:spacing w:after="240" w:line="360" w:lineRule="auto"/>
      <w:jc w:val="both"/>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pPr>
      <w:overflowPunct w:val="0"/>
      <w:autoSpaceDE w:val="0"/>
      <w:autoSpaceDN w:val="0"/>
      <w:adjustRightInd w:val="0"/>
      <w:spacing w:after="240" w:line="360" w:lineRule="auto"/>
      <w:jc w:val="both"/>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pPr>
      <w:overflowPunct w:val="0"/>
      <w:autoSpaceDE w:val="0"/>
      <w:autoSpaceDN w:val="0"/>
      <w:adjustRightInd w:val="0"/>
      <w:spacing w:after="240" w:line="360" w:lineRule="auto"/>
      <w:jc w:val="both"/>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pPr>
      <w:keepNext w:val="1"/>
      <w:numPr>
        <w:numId w:val="0"/>
      </w:numPr>
      <w:overflowPunct w:val="0"/>
      <w:autoSpaceDE w:val="0"/>
      <w:autoSpaceDN w:val="0"/>
      <w:spacing w:after="60" w:before="240" w:line="360" w:lineRule="auto"/>
      <w:textAlignment w:val="baseline"/>
      <w:outlineLvl w:val="9"/>
    </w:pPr>
    <w:rPr>
      <w:rFonts w:ascii="Cambria" w:eastAsia="Times New Roman" w:hAnsi="Cambria"/>
      <w:b w:val="1"/>
      <w:bCs w:val="1"/>
      <w:kern w:val="32"/>
      <w:sz w:val="32"/>
      <w:szCs w:val="32"/>
      <w:lang w:eastAsia="en-US"/>
    </w:rPr>
  </w:style>
  <w:style w:type="character" w:styleId="Heading1Char" w:customStyle="1">
    <w:name w:val="Heading 1 Char"/>
    <w:link w:val="Heading1"/>
    <w:uiPriority w:val="9"/>
    <w:rPr>
      <w:rFonts w:eastAsia="STZhongsong"/>
      <w:sz w:val="22"/>
      <w:lang w:eastAsia="zh-CN"/>
    </w:rPr>
  </w:style>
  <w:style w:type="character" w:styleId="Heading2Char" w:customStyle="1">
    <w:name w:val="Heading 2 Char"/>
    <w:link w:val="Heading2"/>
    <w:uiPriority w:val="9"/>
    <w:rPr>
      <w:rFonts w:ascii="Calibri" w:eastAsia="STZhongsong" w:hAnsi="Calibri"/>
      <w:sz w:val="22"/>
      <w:lang w:eastAsia="zh-CN"/>
    </w:rPr>
  </w:style>
  <w:style w:type="character" w:styleId="Heading3Char" w:customStyle="1">
    <w:name w:val="Heading 3 Char"/>
    <w:link w:val="Heading3"/>
    <w:uiPriority w:val="9"/>
    <w:rPr>
      <w:rFonts w:eastAsia="STZhongsong"/>
      <w:sz w:val="22"/>
      <w:lang w:eastAsia="zh-CN"/>
    </w:rPr>
  </w:style>
  <w:style w:type="character" w:styleId="Heading4Char" w:customStyle="1">
    <w:name w:val="Heading 4 Char"/>
    <w:link w:val="Heading4"/>
    <w:uiPriority w:val="9"/>
    <w:rPr>
      <w:rFonts w:eastAsia="STZhongsong"/>
      <w:sz w:val="22"/>
      <w:lang w:eastAsia="zh-CN"/>
    </w:rPr>
  </w:style>
  <w:style w:type="character" w:styleId="Heading5Char" w:customStyle="1">
    <w:name w:val="Heading 5 Char"/>
    <w:link w:val="Heading5"/>
    <w:uiPriority w:val="9"/>
    <w:locked w:val="1"/>
    <w:rPr>
      <w:rFonts w:eastAsia="STZhongsong"/>
      <w:sz w:val="22"/>
      <w:lang w:eastAsia="zh-CN"/>
    </w:rPr>
  </w:style>
  <w:style w:type="character" w:styleId="MarginTextChar" w:customStyle="1">
    <w:name w:val="Margin Text Char"/>
    <w:link w:val="MarginText"/>
    <w:rPr>
      <w:rFonts w:ascii="Calibri" w:eastAsia="STZhongsong" w:hAnsi="Calibri"/>
      <w:sz w:val="22"/>
      <w:lang w:eastAsia="zh-CN"/>
    </w:rPr>
  </w:style>
  <w:style w:type="character" w:styleId="BodyTextIndent2Char" w:customStyle="1">
    <w:name w:val="Body Text Indent 2 Char"/>
    <w:link w:val="BodyTextIndent2"/>
    <w:rPr>
      <w:rFonts w:eastAsia="STZhongsong"/>
      <w:sz w:val="22"/>
      <w:lang w:eastAsia="zh-CN"/>
    </w:rPr>
  </w:style>
  <w:style w:type="paragraph" w:styleId="PartDes" w:customStyle="1">
    <w:name w:val="PartDes"/>
    <w:basedOn w:val="Normal"/>
    <w:qFormat w:val="1"/>
    <w:pPr>
      <w:overflowPunct w:val="1"/>
      <w:autoSpaceDE w:val="1"/>
      <w:autoSpaceDN w:val="1"/>
      <w:adjustRightInd w:val="1"/>
      <w:spacing w:after="120" w:before="120" w:line="240" w:lineRule="auto"/>
      <w:jc w:val="center"/>
      <w:textAlignment w:val="auto"/>
    </w:pPr>
    <w:rPr>
      <w:rFonts w:ascii="Trebuchet MS" w:eastAsia="Trebuchet MS" w:hAnsi="Trebuchet MS"/>
      <w:b w:val="1"/>
      <w:bCs w:val="1"/>
      <w:szCs w:val="22"/>
    </w:rPr>
  </w:style>
  <w:style w:type="paragraph" w:styleId="TableNormal1" w:customStyle="1">
    <w:name w:val="Table Normal1"/>
    <w:basedOn w:val="Normal"/>
    <w:pPr>
      <w:overflowPunct w:val="1"/>
      <w:autoSpaceDE w:val="1"/>
      <w:autoSpaceDN w:val="1"/>
      <w:adjustRightInd w:val="1"/>
      <w:spacing w:after="120" w:before="120" w:line="240" w:lineRule="auto"/>
      <w:ind w:left="34"/>
      <w:jc w:val="left"/>
      <w:textAlignment w:val="auto"/>
    </w:pPr>
    <w:rPr>
      <w:rFonts w:ascii="Trebuchet MS" w:eastAsia="Trebuchet MS" w:hAnsi="Trebuchet MS"/>
      <w:szCs w:val="22"/>
    </w:rPr>
  </w:style>
  <w:style w:type="paragraph" w:styleId="Heading2-NotBoldNotUnderlined" w:customStyle="1">
    <w:name w:val="Heading 2 - Not Bold Not Underlined"/>
    <w:basedOn w:val="Heading2"/>
    <w:uiPriority w:val="3"/>
    <w:qFormat w:val="1"/>
    <w:pPr>
      <w:numPr>
        <w:numId w:val="0"/>
      </w:numPr>
      <w:adjustRightInd w:val="1"/>
      <w:spacing w:after="200"/>
      <w:ind w:left="1582" w:hanging="720"/>
    </w:pPr>
    <w:rPr>
      <w:rFonts w:ascii="Arial" w:cs="Arial" w:eastAsia="Calibri" w:hAnsi="Arial"/>
      <w:sz w:val="20"/>
      <w:lang w:eastAsia="en-US"/>
    </w:rPr>
  </w:style>
  <w:style w:type="paragraph" w:styleId="Body2" w:customStyle="1">
    <w:name w:val="Body2"/>
    <w:basedOn w:val="Normal"/>
    <w:pPr>
      <w:overflowPunct w:val="1"/>
      <w:autoSpaceDE w:val="1"/>
      <w:autoSpaceDN w:val="1"/>
      <w:adjustRightInd w:val="1"/>
      <w:ind w:left="709"/>
      <w:textAlignment w:val="auto"/>
    </w:pPr>
    <w:rPr>
      <w:sz w:val="24"/>
      <w:szCs w:val="24"/>
    </w:rPr>
  </w:style>
  <w:style w:type="paragraph" w:styleId="GPSL1CLAUSEHEADING" w:customStyle="1">
    <w:name w:val="GPS L1 CLAUSE HEADING"/>
    <w:basedOn w:val="Normal"/>
    <w:next w:val="Normal"/>
    <w:qFormat w:val="1"/>
    <w:pPr>
      <w:tabs>
        <w:tab w:val="left" w:pos="142"/>
      </w:tabs>
      <w:overflowPunct w:val="1"/>
      <w:autoSpaceDE w:val="1"/>
      <w:autoSpaceDN w:val="1"/>
      <w:spacing w:before="120" w:line="240" w:lineRule="auto"/>
      <w:textAlignment w:val="auto"/>
      <w:outlineLvl w:val="1"/>
    </w:pPr>
    <w:rPr>
      <w:rFonts w:ascii="Calibri" w:cs="Arial" w:eastAsia="STZhongsong" w:hAnsi="Calibri"/>
      <w:b w:val="1"/>
      <w:caps w:val="1"/>
      <w:szCs w:val="22"/>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line="240" w:lineRule="auto"/>
      <w:textAlignment w:val="auto"/>
    </w:pPr>
    <w:rPr>
      <w:rFonts w:ascii="Calibri" w:cs="Arial" w:hAnsi="Calibri"/>
      <w:szCs w:val="22"/>
      <w:lang w:eastAsia="zh-CN"/>
    </w:rPr>
  </w:style>
  <w:style w:type="paragraph" w:styleId="GPSL4numberedclause" w:customStyle="1">
    <w:name w:val="GPS L4 numbered clause"/>
    <w:basedOn w:val="GPSL3numberedclause"/>
    <w:link w:val="GPSL4numberedclauseChar"/>
    <w:qFormat w:val="1"/>
    <w:pPr>
      <w:tabs>
        <w:tab w:val="left" w:pos="2552"/>
      </w:tabs>
    </w:pPr>
  </w:style>
  <w:style w:type="paragraph" w:styleId="GPSL5numberedclause" w:customStyle="1">
    <w:name w:val="GPS L5 numbered clause"/>
    <w:basedOn w:val="GPSL4numberedclause"/>
    <w:qFormat w:val="1"/>
    <w:pPr>
      <w:tabs>
        <w:tab w:val="left" w:pos="3119"/>
      </w:tabs>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line="240" w:lineRule="auto"/>
      <w:textAlignment w:val="auto"/>
    </w:pPr>
    <w:rPr>
      <w:rFonts w:ascii="Calibri" w:cs="Arial" w:hAnsi="Calibri"/>
      <w:b w:val="1"/>
      <w:szCs w:val="22"/>
      <w:lang w:eastAsia="zh-CN"/>
    </w:rPr>
  </w:style>
  <w:style w:type="paragraph" w:styleId="GPSL6numbered" w:customStyle="1">
    <w:name w:val="GPS L6 numbered"/>
    <w:basedOn w:val="GPSL5numberedclause"/>
    <w:qFormat w:val="1"/>
    <w:pPr>
      <w:tabs>
        <w:tab w:val="left" w:pos="3686"/>
      </w:tabs>
    </w:p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keepNext w:val="1"/>
      <w:tabs>
        <w:tab w:val="clear" w:pos="142"/>
      </w:tabs>
      <w:outlineLvl w:val="9"/>
    </w:pPr>
  </w:style>
  <w:style w:type="paragraph" w:styleId="GPSL2Numbered" w:customStyle="1">
    <w:name w:val="GPS L2 Numbered"/>
    <w:basedOn w:val="GPSL2NumberedBoldHeading"/>
    <w:link w:val="GPSL2NumberedChar"/>
    <w:qFormat w:val="1"/>
    <w:pPr>
      <w:tabs>
        <w:tab w:val="clear" w:pos="1134"/>
      </w:tabs>
    </w:pPr>
    <w:rPr>
      <w:b w:val="0"/>
    </w:rPr>
  </w:style>
  <w:style w:type="character" w:styleId="GPSL2NumberedChar" w:customStyle="1">
    <w:name w:val="GPS L2 Numbered Char"/>
    <w:link w:val="GPSL2Numbered"/>
    <w:locked w:val="1"/>
    <w:rPr>
      <w:rFonts w:ascii="Calibri" w:cs="Arial" w:hAnsi="Calibri"/>
      <w:sz w:val="22"/>
      <w:szCs w:val="22"/>
      <w:lang w:eastAsia="zh-CN"/>
    </w:r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character" w:styleId="FooterChar" w:customStyle="1">
    <w:name w:val="Footer Char"/>
    <w:link w:val="Footer"/>
    <w:uiPriority w:val="99"/>
    <w:rPr>
      <w:sz w:val="22"/>
      <w:lang w:eastAsia="en-US"/>
    </w:rPr>
  </w:style>
  <w:style w:type="paragraph" w:styleId="GPsDefinition" w:customStyle="1">
    <w:name w:val="GPs Definition"/>
    <w:basedOn w:val="Normal"/>
    <w:qFormat w:val="1"/>
    <w:pPr>
      <w:numPr>
        <w:numId w:val="18"/>
      </w:numPr>
      <w:tabs>
        <w:tab w:val="left" w:pos="-9"/>
      </w:tabs>
      <w:spacing w:after="120" w:line="240" w:lineRule="auto"/>
    </w:pPr>
    <w:rPr>
      <w:rFonts w:ascii="Arial" w:cs="Arial" w:hAnsi="Arial"/>
      <w:szCs w:val="22"/>
    </w:r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line="240" w:lineRule="auto"/>
      <w:ind w:left="-108"/>
      <w:jc w:val="left"/>
    </w:pPr>
    <w:rPr>
      <w:rFonts w:ascii="Arial" w:cs="Arial" w:hAnsi="Arial"/>
      <w:b w:val="1"/>
      <w:szCs w:val="22"/>
    </w:rPr>
  </w:style>
  <w:style w:type="character" w:styleId="HeaderChar" w:customStyle="1">
    <w:name w:val="Header Char"/>
    <w:link w:val="Header"/>
    <w:uiPriority w:val="99"/>
    <w:rPr>
      <w:sz w:val="22"/>
      <w:lang w:eastAsia="en-US"/>
    </w:rPr>
  </w:style>
  <w:style w:type="paragraph" w:styleId="GPSL1Schedulenumbered" w:customStyle="1">
    <w:name w:val="GPS L1 Schedule numbered"/>
    <w:basedOn w:val="Normal"/>
    <w:link w:val="GPSL1SchedulenumberedChar1"/>
    <w:qFormat w:val="1"/>
    <w:rsid w:val="00014AD9"/>
    <w:pPr>
      <w:numPr>
        <w:numId w:val="86"/>
      </w:numPr>
      <w:tabs>
        <w:tab w:val="left" w:pos="851"/>
      </w:tabs>
      <w:spacing w:line="240" w:lineRule="auto"/>
    </w:pPr>
    <w:rPr>
      <w:rFonts w:ascii="Calibri" w:cs="Arial" w:hAnsi="Calibri"/>
      <w:szCs w:val="22"/>
    </w:rPr>
  </w:style>
  <w:style w:type="character" w:styleId="GPSL1SchedulenumberedChar1" w:customStyle="1">
    <w:name w:val="GPS L1 Schedule numbered Char1"/>
    <w:link w:val="GPSL1Schedulenumbered"/>
    <w:locked w:val="1"/>
    <w:rsid w:val="00014AD9"/>
    <w:rPr>
      <w:rFonts w:ascii="Calibri" w:cs="Arial" w:hAnsi="Calibri"/>
      <w:sz w:val="22"/>
      <w:szCs w:val="22"/>
      <w:lang w:eastAsia="en-US"/>
    </w:rPr>
  </w:style>
  <w:style w:type="character" w:styleId="GPSL4numberedclauseChar" w:customStyle="1">
    <w:name w:val="GPS L4 numbered clause Char"/>
    <w:link w:val="GPSL4numberedclause"/>
    <w:rsid w:val="00014AD9"/>
    <w:rPr>
      <w:rFonts w:ascii="Calibri" w:cs="Arial" w:hAnsi="Calibri"/>
      <w:sz w:val="22"/>
      <w:szCs w:val="22"/>
      <w:lang w:eastAsia="zh-CN"/>
    </w:rPr>
  </w:style>
  <w:style w:type="character" w:styleId="GPSL2NumberedBoldHeadingChar" w:customStyle="1">
    <w:name w:val="GPS L2 Numbered Bold Heading Char"/>
    <w:link w:val="GPSL2NumberedBoldHeading"/>
    <w:locked w:val="1"/>
    <w:rsid w:val="00014AD9"/>
    <w:rPr>
      <w:rFonts w:ascii="Calibri" w:cs="Arial" w:hAnsi="Calibri"/>
      <w:b w:val="1"/>
      <w:sz w:val="22"/>
      <w:szCs w:val="22"/>
      <w:lang w:eastAsia="zh-CN"/>
    </w:rPr>
  </w:style>
  <w:style w:type="paragraph" w:styleId="GPSL2numberedclause" w:customStyle="1">
    <w:name w:val="GPS L2 numbered clause"/>
    <w:basedOn w:val="Normal"/>
    <w:link w:val="GPSL2numberedclauseChar1"/>
    <w:qFormat w:val="1"/>
    <w:rsid w:val="00014AD9"/>
    <w:pPr>
      <w:tabs>
        <w:tab w:val="left" w:pos="1134"/>
      </w:tabs>
      <w:overflowPunct w:val="1"/>
      <w:autoSpaceDE w:val="1"/>
      <w:autoSpaceDN w:val="1"/>
      <w:spacing w:after="120" w:before="120" w:line="240" w:lineRule="auto"/>
      <w:ind w:left="1134" w:hanging="567"/>
      <w:textAlignment w:val="auto"/>
    </w:pPr>
    <w:rPr>
      <w:rFonts w:ascii="Calibri" w:cs="Arial" w:hAnsi="Calibri"/>
      <w:szCs w:val="22"/>
      <w:lang w:eastAsia="zh-CN"/>
    </w:rPr>
  </w:style>
  <w:style w:type="character" w:styleId="GPSL2numberedclauseChar1" w:customStyle="1">
    <w:name w:val="GPS L2 numbered clause Char1"/>
    <w:link w:val="GPSL2numberedclause"/>
    <w:rsid w:val="00014AD9"/>
    <w:rPr>
      <w:rFonts w:ascii="Calibri" w:cs="Arial" w:hAnsi="Calibri"/>
      <w:sz w:val="22"/>
      <w:szCs w:val="22"/>
      <w:lang w:eastAsia="zh-CN"/>
    </w:rPr>
  </w:style>
  <w:style w:type="paragraph" w:styleId="Body3" w:customStyle="1">
    <w:name w:val="Body3"/>
    <w:basedOn w:val="Normal"/>
    <w:uiPriority w:val="99"/>
    <w:rsid w:val="00014AD9"/>
    <w:pPr>
      <w:overflowPunct w:val="1"/>
      <w:autoSpaceDE w:val="1"/>
      <w:autoSpaceDN w:val="1"/>
      <w:adjustRightInd w:val="1"/>
      <w:spacing w:after="220" w:line="240" w:lineRule="auto"/>
      <w:ind w:left="1412"/>
      <w:textAlignment w:val="auto"/>
    </w:pPr>
    <w:rPr>
      <w:rFonts w:ascii="Trebuchet MS" w:hAnsi="Trebuchet MS"/>
      <w:sz w:val="20"/>
    </w:rPr>
  </w:style>
  <w:style w:type="character" w:styleId="GPSDefinitionL2Char" w:customStyle="1">
    <w:name w:val="GPS Definition L2 Char"/>
    <w:link w:val="GPSDefinitionL2"/>
    <w:locked w:val="1"/>
    <w:rsid w:val="00014AD9"/>
    <w:rPr>
      <w:rFonts w:ascii="Arial" w:cs="Arial" w:hAnsi="Arial"/>
      <w:sz w:val="22"/>
      <w:szCs w:val="22"/>
      <w:lang w:eastAsia="en-US"/>
    </w:rPr>
  </w:style>
  <w:style w:type="paragraph" w:styleId="Revision">
    <w:name w:val="Revision"/>
    <w:hidden w:val="1"/>
    <w:uiPriority w:val="99"/>
    <w:semiHidden w:val="1"/>
    <w:rsid w:val="00F73B5B"/>
    <w:rPr>
      <w:sz w:val="22"/>
      <w:lang w:eastAsia="en-US"/>
    </w:rPr>
  </w:style>
  <w:style w:type="paragraph" w:styleId="Subtitle">
    <w:name w:val="Subtitle"/>
    <w:basedOn w:val="Normal"/>
    <w:next w:val="Normal"/>
    <w:pPr>
      <w:pageBreakBefore w:val="0"/>
      <w:spacing w:after="6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pageBreakBefore w:val="0"/>
      <w:spacing w:after="60" w:lineRule="auto"/>
      <w:jc w:val="center"/>
    </w:pPr>
    <w:rPr>
      <w:rFonts w:ascii="Cambria" w:cs="Cambria" w:eastAsia="Cambria" w:hAnsi="Cambria"/>
      <w:sz w:val="24"/>
      <w:szCs w:val="24"/>
    </w:rPr>
  </w:style>
  <w:style w:type="table" w:styleId="Table1">
    <w:basedOn w:val="TableNormal"/>
    <w:pPr>
      <w:spacing w:after="240" w:line="360" w:lineRule="auto"/>
      <w:jc w:val="both"/>
    </w:pPr>
    <w:rPr>
      <w:rFonts w:ascii="Cambria" w:cs="Cambria" w:eastAsia="Cambria" w:hAnsi="Cambria"/>
      <w:b w:val="1"/>
      <w:color w:val="ffffff"/>
    </w:rPr>
    <w:tblPr>
      <w:tblStyleRowBandSize w:val="1"/>
      <w:tblStyleColBandSize w:val="1"/>
      <w:tblCellMar>
        <w:top w:w="0.0" w:type="dxa"/>
        <w:left w:w="115.0" w:type="dxa"/>
        <w:bottom w:w="0.0" w:type="dxa"/>
        <w:right w:w="115.0" w:type="dxa"/>
      </w:tblCellMar>
    </w:tblPr>
    <w:tcPr>
      <w:shd w:fill="auto" w:val="clear"/>
    </w:tcPr>
  </w:style>
  <w:style w:type="paragraph" w:styleId="Subtitle">
    <w:name w:val="Subtitle"/>
    <w:basedOn w:val="Normal"/>
    <w:next w:val="Normal"/>
    <w:pPr>
      <w:pageBreakBefore w:val="0"/>
      <w:spacing w:after="60" w:lineRule="auto"/>
      <w:jc w:val="center"/>
    </w:pPr>
    <w:rPr>
      <w:rFonts w:ascii="Cambria" w:cs="Cambria" w:eastAsia="Cambria" w:hAnsi="Cambria"/>
      <w:sz w:val="24"/>
      <w:szCs w:val="24"/>
    </w:rPr>
  </w:style>
  <w:style w:type="table" w:styleId="Table1">
    <w:basedOn w:val="TableNormal"/>
    <w:pPr>
      <w:spacing w:after="240" w:line="360" w:lineRule="auto"/>
      <w:jc w:val="both"/>
    </w:pPr>
    <w:rPr>
      <w:rFonts w:ascii="Cambria" w:cs="Cambria" w:eastAsia="Cambria" w:hAnsi="Cambria"/>
      <w:b w:val="1"/>
      <w:color w:val="ffffff"/>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9Sp4DTLTqWhmpzpvuPbRhqUQM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4AHIhMXZTRFVDRExnWXBucFhCcXBhQjFfazlwRFBWVjh5d1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2018-12-13T13:54:00Z</dcterms:created>
  <dc:creator>Duncan Shinn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