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Call-Off Schedule 10 (Exit Management)</w:t>
      </w:r>
    </w:p>
    <w:p w:rsidR="00000000" w:rsidDel="00000000" w:rsidP="00000000" w:rsidRDefault="00000000" w:rsidRPr="00000000" w14:paraId="0000000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7988.0"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4928"/>
        <w:tblGridChange w:id="0">
          <w:tblGrid>
            <w:gridCol w:w="3060"/>
            <w:gridCol w:w="4928"/>
          </w:tblGrid>
        </w:tblGridChange>
      </w:tblGrid>
      <w:tr>
        <w:trPr>
          <w:cantSplit w:val="0"/>
          <w:tblHeader w:val="0"/>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Assets"</w:t>
            </w:r>
          </w:p>
        </w:tc>
        <w:tc>
          <w:tcPr/>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Assets used exclusively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a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provision of the Deliverables;</w:t>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Information"</w:t>
            </w:r>
          </w:p>
        </w:tc>
        <w:tc>
          <w:tcPr/>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3.1 of this Schedule;</w:t>
            </w:r>
          </w:p>
        </w:tc>
      </w:tr>
      <w:tr>
        <w:trPr>
          <w:cantSplit w:val="0"/>
          <w:tblHeader w:val="0"/>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Manager"</w:t>
            </w:r>
          </w:p>
        </w:tc>
        <w:tc>
          <w:tcPr/>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appointed by each Party to manage their respective obligations under this Schedule;</w:t>
            </w:r>
          </w:p>
        </w:tc>
      </w:tr>
      <w:tr>
        <w:trPr>
          <w:cantSplit w:val="0"/>
          <w:tblHeader w:val="0"/>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Plan”</w:t>
            </w:r>
          </w:p>
        </w:tc>
        <w:tc>
          <w:tcPr/>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plan produced and updated by the Supplier during the Initial Period in accordance with Paragraph 4 of this Schedule;</w:t>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Book Value"</w:t>
            </w:r>
          </w:p>
        </w:tc>
        <w:tc>
          <w:tcPr/>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trPr>
          <w:cantSplit w:val="0"/>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"Non-Exclusive Assets"</w:t>
            </w:r>
          </w:p>
        </w:tc>
        <w:tc>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Supplier Assets used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a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connection with the Deliverables but which are also used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other purposes;</w:t>
            </w:r>
          </w:p>
        </w:tc>
      </w:tr>
      <w:tr>
        <w:trPr>
          <w:cantSplit w:val="0"/>
          <w:tblHeader w:val="0"/>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"Registers"</w:t>
            </w:r>
          </w:p>
        </w:tc>
        <w:tc>
          <w:tcPr/>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register and configuration database referred to in Paragraph 2.2 of this Schedule; </w:t>
            </w:r>
          </w:p>
        </w:tc>
      </w:tr>
      <w:tr>
        <w:trPr>
          <w:cantSplit w:val="0"/>
          <w:tblHeader w:val="0"/>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Goods"</w:t>
            </w:r>
          </w:p>
        </w:tc>
        <w:tc>
          <w:tcPr/>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goods which are substantially similar to any of the Goods and which the Buyer receives in substitution for any of the Goods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Services"</w:t>
            </w:r>
          </w:p>
        </w:tc>
        <w:tc>
          <w:tcPr/>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services which are substantially similar to any of the Services and which the Buyer receives in substitution for any of the Services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w:t>
            </w:r>
          </w:p>
        </w:tc>
        <w:tc>
          <w:tcPr/>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activities to be performed by the Supplier pursuant to the Exit Plan, and other assistance required by the Buyer pursuant to the Termination Assistance Notice;</w:t>
            </w:r>
          </w:p>
        </w:tc>
      </w:tr>
      <w:tr>
        <w:trPr>
          <w:cantSplit w:val="0"/>
          <w:tblHeader w:val="0"/>
        </w:trP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Notice"</w:t>
            </w:r>
          </w:p>
        </w:tc>
        <w:tc>
          <w:tcPr/>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5.1 of this Schedule;</w:t>
            </w:r>
          </w:p>
        </w:tc>
      </w:tr>
      <w:tr>
        <w:trPr>
          <w:cantSplit w:val="0"/>
          <w:tblHeader w:val="0"/>
        </w:trPr>
        <w:tc>
          <w:tcPr/>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Period"</w:t>
            </w:r>
          </w:p>
        </w:tc>
        <w:tc>
          <w:tcPr/>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specified in a Termination Assistance Notice for which the Supplier is required to provide the Termination Assistance as such period may be extended pursuant to Paragraph 5.2 of this Schedule;</w:t>
            </w:r>
          </w:p>
        </w:tc>
      </w:tr>
      <w:tr>
        <w:trPr>
          <w:cantSplit w:val="0"/>
          <w:tblHeader w:val="0"/>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"Transferable Assets"</w:t>
            </w:r>
          </w:p>
        </w:tc>
        <w:tc>
          <w:tcPr/>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Exclusive Assets which are capable of legal transfer to the Buyer;</w:t>
            </w:r>
          </w:p>
        </w:tc>
      </w:tr>
      <w:tr>
        <w:trPr>
          <w:cantSplit w:val="0"/>
          <w:tblHeader w:val="0"/>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"Transferable Contracts"</w:t>
            </w:r>
          </w:p>
        </w:tc>
        <w:tc>
          <w:tcPr/>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trPr>
          <w:cantSplit w:val="0"/>
          <w:tblHeader w:val="0"/>
        </w:trP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Assets"</w:t>
            </w:r>
          </w:p>
        </w:tc>
        <w:tc>
          <w:tcPr/>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8.2.1 of this Schedule;</w:t>
            </w:r>
          </w:p>
        </w:tc>
      </w:tr>
      <w:tr>
        <w:trPr>
          <w:cantSplit w:val="0"/>
          <w:tblHeader w:val="0"/>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Contracts"</w:t>
            </w:r>
          </w:p>
        </w:tc>
        <w:tc>
          <w:tcPr/>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8.2.3 of this Schedule.</w:t>
            </w:r>
          </w:p>
        </w:tc>
      </w:tr>
    </w:tbl>
    <w:p w:rsidR="00000000" w:rsidDel="00000000" w:rsidP="00000000" w:rsidRDefault="00000000" w:rsidRPr="00000000" w14:paraId="0000002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must always be prepared for contract exit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within 30 days from the Start Date provide to the Buyer a copy of its depreciation policy to be used for the purposes of calculating Net Book Value.</w:t>
      </w:r>
    </w:p>
    <w:p w:rsidR="00000000" w:rsidDel="00000000" w:rsidP="00000000" w:rsidRDefault="00000000" w:rsidRPr="00000000" w14:paraId="0000002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Contract Period, the Supplier shall promptly:</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maintain a configuration database detailing the technical infrastructure and operating procedures through which the Supplier provides the Deliverables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12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Exclusive Assets listed in the Registers are clearly physically identified as such; and</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shall appoint an Exit Manager within three (3) Months of the Start Date. The Parties' Exit Managers will liaise with one another in relation to all issues relevant to the expiry or termination of this Contract.</w:t>
      </w:r>
    </w:p>
    <w:p w:rsidR="00000000" w:rsidDel="00000000" w:rsidP="00000000" w:rsidRDefault="00000000" w:rsidRPr="00000000" w14:paraId="0000002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Assisting re-competition for Deliverables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Exit Information shall be accurate and complete in all material respects and shall be sufficient to enable a third party to prepare an informed offer for those Deliverables; and not be disadvantaged in any procurement process compared to the Supplier.</w:t>
      </w:r>
    </w:p>
    <w:p w:rsidR="00000000" w:rsidDel="00000000" w:rsidP="00000000" w:rsidRDefault="00000000" w:rsidRPr="00000000" w14:paraId="0000003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Plan</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within three (3) Months after the Start Date, deliver to the Buyer an Exit Plan which complies with the requirements set out in Paragraph 4.3 of this Schedule and is otherwise reasonably satisfactory to the Buyer.</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000000" w:rsidDel="00000000" w:rsidP="00000000" w:rsidRDefault="00000000" w:rsidRPr="00000000" w14:paraId="0000003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Exit Plan shall set out, as a minimum:</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detailed description of both the transfer and cessation processes, including a timetable; </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Deliverables will transfer to the Replacement Supplier and/or the Buyer;</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contracts which will be available for transfer to the Buyer and/or the Replacement Supplier upon the Expiry Date together with any reasonable costs required to effect such transfer;</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training of key members of the Replacement Supplier’s staff in connection with the continuation of the provision of the Deliverables following the Expiry Date;</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providing the Buyer or a Replacement Supplier copies of all documentation relating to the use and operation of the Deliverables and required for their continued use; </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assignment or novation of all services utilised by the Supplier in connection with the supply of the Deliverables;</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identification and return of all Buyer Property in the possession of and/or control of the Supplier or any third party;</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disposal of any redundant Deliverables and materials;</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Supplier will ensure that there is no disruption to or degradation of the Deliverables during the Termination Assistance Period; and</w:t>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information or assistance reasonably required by the Buyer or a Replacement Supplier.</w:t>
      </w:r>
    </w:p>
    <w:p w:rsidR="00000000" w:rsidDel="00000000" w:rsidP="00000000" w:rsidRDefault="00000000" w:rsidRPr="00000000" w14:paraId="0000004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42">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and update the Exit Plan (and risk management plan) no less frequently than: </w:t>
      </w:r>
    </w:p>
    <w:p w:rsidR="00000000" w:rsidDel="00000000" w:rsidP="00000000" w:rsidRDefault="00000000" w:rsidRPr="00000000" w14:paraId="000000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[six (6) months]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throughout the Contract Period; and</w:t>
      </w:r>
    </w:p>
    <w:p w:rsidR="00000000" w:rsidDel="00000000" w:rsidP="00000000" w:rsidRDefault="00000000" w:rsidRPr="00000000" w14:paraId="0000004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later than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twenty (20)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a request from the Buyer for an up-to-date copy of the Exit Plan; </w:t>
      </w:r>
    </w:p>
    <w:p w:rsidR="00000000" w:rsidDel="00000000" w:rsidP="00000000" w:rsidRDefault="00000000" w:rsidRPr="00000000" w14:paraId="0000004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possible following a Termination Assistance Notice, and in any event no later than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ten (10)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the date of the Termination Assistance Notice;</w:t>
      </w:r>
    </w:p>
    <w:p w:rsidR="00000000" w:rsidDel="00000000" w:rsidP="00000000" w:rsidRDefault="00000000" w:rsidRPr="00000000" w14:paraId="0000004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possible following, and in any event no later than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twenty (20)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following, any material change to the Deliverables (including all changes under the Variation Procedure); and  </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jointly review and verify the Exit Plan if required by the Buyer and promptly correct any identified failures.</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if (by notification to the Supplier in writing) the Buyer agrees with a draft Exit Plan provided by the Supplier under Paragraph 4.2 or 4.4 (as the context requires), shall that draft become the Exit Plan for this Contract.  </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version of an Exit Plan agreed between the parties shall not be superseded by any draft submitted by the Supplier.</w:t>
      </w:r>
    </w:p>
    <w:p w:rsidR="00000000" w:rsidDel="00000000" w:rsidP="00000000" w:rsidRDefault="00000000" w:rsidRPr="00000000" w14:paraId="0000004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entitled to require the provision of Termination Assistance at any time during the Contract Period by giving written notice to the Supplier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nature of the Termination Assistance required; and</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start date and initial period during which it is anticipated that Termination Assistance will be required, which shall continue no longer than twelve (12) Months after the End Date.</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an option to extend the Termination Assistance Period beyond the initial period specified in the Termination Assistance Notice in one or more extensions, in each case provided that:</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such extension shall extend the Termination Assistance Period beyond the date twelve (12) Months after the End Date; and </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notify the Supplier of any such extension no later than twenty (20) Working Days prior to the date on which the Termination Assistance Period is otherwise due to expire. </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the right to terminate its requirement for Termination Assistance by serving not less than (20) Working Days' written notice upon the Supplier.</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000000" w:rsidDel="00000000" w:rsidP="00000000" w:rsidRDefault="00000000" w:rsidRPr="00000000" w14:paraId="0000005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Period </w:t>
      </w:r>
      <w:r w:rsidDel="00000000" w:rsidR="00000000" w:rsidRPr="00000000">
        <w:rPr>
          <w:rtl w:val="0"/>
        </w:rPr>
      </w:r>
    </w:p>
    <w:p w:rsidR="00000000" w:rsidDel="00000000" w:rsidP="00000000" w:rsidRDefault="00000000" w:rsidRPr="00000000" w14:paraId="00000054">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the Termination Assistance Period the Supplier shall:</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provide the Deliverables (as applicable) and otherwise perform its obligations under this Contract and, if required by the Buyer, provide the Termination Assistance;</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all reasonable endeavours to reallocate resources to provide such assistance without additional costs to the Buyer;</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000000" w:rsidDel="00000000" w:rsidP="00000000" w:rsidRDefault="00000000" w:rsidRPr="00000000" w14:paraId="000000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Buyer's request and on reasonable notice, deliver up-to-date Registers to the Buyer;</w:t>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seek the Buyer's prior written consent to access any Buyer Premises from which the de-installation or removal of Supplier Assets is required.</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000000" w:rsidDel="00000000" w:rsidP="00000000" w:rsidRDefault="00000000" w:rsidRPr="00000000" w14:paraId="0000005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Obligations when the contract is terminated  </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all of its obligations contained in the Exit Plan.</w:t>
      </w:r>
    </w:p>
    <w:p w:rsidR="00000000" w:rsidDel="00000000" w:rsidP="00000000" w:rsidRDefault="00000000" w:rsidRPr="00000000" w14:paraId="0000005F">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termination or expiry or at the end of the Termination Assistance Period (or earlier if this does not adversely affect the Supplier's performance of the Deliverables and the Termination Assistance), the Supplier shall:</w:t>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vacate any Buyer Premises;</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000000" w:rsidDel="00000000" w:rsidP="00000000" w:rsidRDefault="00000000" w:rsidRPr="00000000" w14:paraId="00000062">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access during normal working hours to the Buyer and/or the Replacement Supplier for up to twelve (12) Months after expiry or termination to:</w:t>
      </w:r>
    </w:p>
    <w:p w:rsidR="00000000" w:rsidDel="00000000" w:rsidP="00000000" w:rsidRDefault="00000000" w:rsidRPr="00000000" w14:paraId="0000006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information relating to the Deliverables as remains in the possession or control of the Supplier; and</w:t>
      </w:r>
    </w:p>
    <w:p w:rsidR="00000000" w:rsidDel="00000000" w:rsidP="00000000" w:rsidRDefault="00000000" w:rsidRPr="00000000" w14:paraId="0000006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where this Contract provides otherwise, all licences, leases and authorisations granted by the Buyer to the Supplier in relation to the Deliverables shall be terminated with effect from the end of the Termination Assistance Period.</w:t>
      </w:r>
    </w:p>
    <w:p w:rsidR="00000000" w:rsidDel="00000000" w:rsidP="00000000" w:rsidRDefault="00000000" w:rsidRPr="00000000" w14:paraId="0000006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Assets, Sub-contracts and Software</w:t>
      </w:r>
    </w:p>
    <w:p w:rsidR="00000000" w:rsidDel="00000000" w:rsidP="00000000" w:rsidRDefault="00000000" w:rsidRPr="00000000" w14:paraId="0000006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notice of termination of this Contract and during the Termination Assistance Period, the Supplier shall not, without the Buyer's prior written consent:</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enter into or vary any Sub-contract or licence for any software in connection with the Deliverables; or</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normal maintenance requirements) make material modifications to, or dispose of, any existing Supplier Assets or acquire any new Supplier Assets.</w:t>
      </w:r>
    </w:p>
    <w:p w:rsidR="00000000" w:rsidDel="00000000" w:rsidP="00000000" w:rsidRDefault="00000000" w:rsidRPr="00000000" w14:paraId="0000006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 Working Days of receipt of the up-to-date Registers provided by the Supplier, the Buyer shall notify the Supplier setting out:</w:t>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 the Transferable Assets the Buyer requires to be transferred to the Buyer and/or the Replacement Supplier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Assets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w:t>
      </w:r>
    </w:p>
    <w:p w:rsidR="00000000" w:rsidDel="00000000" w:rsidP="00000000" w:rsidRDefault="00000000" w:rsidRPr="00000000" w14:paraId="0000006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Exclusive Assets that are not Transferable Assets; and </w:t>
      </w:r>
    </w:p>
    <w:p w:rsidR="00000000" w:rsidDel="00000000" w:rsidP="00000000" w:rsidRDefault="00000000" w:rsidRPr="00000000" w14:paraId="0000006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3272"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Non-Exclusive Assets,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27"/>
        </w:tabs>
        <w:spacing w:after="120" w:before="120" w:line="240" w:lineRule="auto"/>
        <w:ind w:left="1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and/or the Replacement Supplier requires the continued use of; and</w:t>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 Transferable Contracts the Buyer requires to be assigned or novated to the Buyer and/or the Replacement Supplier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Contracts"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127"/>
        </w:tabs>
        <w:spacing w:after="120" w:before="120" w:line="240" w:lineRule="auto"/>
        <w:ind w:left="936" w:right="0" w:hanging="349.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in the Transferring Assets shall pass to the Buyer or the Replacement Supplier (as appropriate) at the end of the Termination Assistance Period and title shall pass on payment for them.</w:t>
      </w:r>
    </w:p>
    <w:p w:rsidR="00000000" w:rsidDel="00000000" w:rsidP="00000000" w:rsidRDefault="00000000" w:rsidRPr="00000000" w14:paraId="0000007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and/or the Replacement Supplier requires continued use of any Exclusive Assets that are not Transferable Assets or any Non-Exclusive Assets, the Supplier shall as soon as reasonably practicable:</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a non-exclusive, perpetual, royalty-free licence for the Buyer and/or the Replacement Supplier to use such assets (with a right of sub-licence or assignment on the same terms); or failing which</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a suitable alternative to such assets, the Buyer or the Replacement Supplier to bear the reasonable proven costs of procuring the same.</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000000" w:rsidDel="00000000" w:rsidP="00000000" w:rsidRDefault="00000000" w:rsidRPr="00000000" w14:paraId="0000007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assignments from the Supplier or join with the Supplier in procuring a novation of each Transferring Contract; and</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hold any Transferring Contracts on trust for the Buyer until the transfer of the relevant Transferring Contract to the Buyer and/or the Replacement Supplier has taken place.</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000000" w:rsidDel="00000000" w:rsidP="00000000" w:rsidRDefault="00000000" w:rsidRPr="00000000" w14:paraId="0000007D">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41mghml" w:id="36"/>
      <w:bookmarkEnd w:id="36"/>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charges</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otherwise stated, the Buyer shall not be obliged to pay for costs incurred by the Supplier in relation to its compliance with this Schedule.</w:t>
      </w:r>
    </w:p>
    <w:p w:rsidR="00000000" w:rsidDel="00000000" w:rsidP="00000000" w:rsidRDefault="00000000" w:rsidRPr="00000000" w14:paraId="0000007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ividing the bills </w:t>
      </w:r>
      <w:r w:rsidDel="00000000" w:rsidR="00000000" w:rsidRPr="00000000">
        <w:rPr>
          <w:rtl w:val="0"/>
        </w:rPr>
      </w:r>
    </w:p>
    <w:p w:rsidR="00000000" w:rsidDel="00000000" w:rsidP="00000000" w:rsidRDefault="00000000" w:rsidRPr="00000000" w14:paraId="0000008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28"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grqrue" w:id="37"/>
      <w:bookmarkEnd w:id="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outgoings, expenses, rents, royalties and other periodical payments receivable in respect of the Transferring Assets and Transferring Contracts shall be apportioned between the Buyer and/or the Replacement and the Supplier as follows:</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amounts shall be annualised and divided by 365 to reach a daily rate;</w:t>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or Replacement Supplier (as applicable) shall be responsible for or entitled to (as the case may be) that part of the value of the invoice pro rata to the number of complete days following the transfer, multiplied by the daily rate; and</w:t>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or entitled to (as the case may be) the rest of the invoice.</w:t>
      </w:r>
    </w:p>
    <w:p w:rsidR="00000000" w:rsidDel="00000000" w:rsidP="00000000" w:rsidRDefault="00000000" w:rsidRPr="00000000" w14:paraId="0000008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pageBreakBefore w:val="0"/>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RM6353 Tyres</w:t>
    </w:r>
    <w:r w:rsidDel="00000000" w:rsidR="00000000" w:rsidRPr="00000000">
      <w:rPr>
        <w:rFonts w:ascii="Arial" w:cs="Arial" w:eastAsia="Arial" w:hAnsi="Arial"/>
        <w:sz w:val="20"/>
        <w:szCs w:val="20"/>
        <w:rtl w:val="0"/>
      </w:rPr>
      <w:t xml:space="preserve">, Glass and Telematics</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w:t>
    </w:r>
    <w:bookmarkStart w:colFirst="0" w:colLast="0" w:name="bookmark=id.vx1227" w:id="38"/>
    <w:bookmarkEnd w:id="3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Framework Ref: RM</w:t>
      <w:tab/>
      <w:t xml:space="preserve">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Model Version :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10 (Exit Management)</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r w:rsidDel="00000000" w:rsidR="00000000" w:rsidRPr="00000000">
      <w:rPr>
        <w:rFonts w:ascii="Arial" w:cs="Arial" w:eastAsia="Arial" w:hAnsi="Arial"/>
        <w:sz w:val="20"/>
        <w:szCs w:val="20"/>
        <w:rtl w:val="0"/>
      </w:rPr>
      <w:t xml:space="preserve">23</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355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8"/>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paragraph" w:styleId="GPSL1CLAUSEHEADING" w:customStyle="1">
    <w:name w:val="GPS L1 CLAUSE HEADING"/>
    <w:basedOn w:val="Normal"/>
    <w:next w:val="Normal"/>
    <w:qFormat w:val="1"/>
    <w:pPr>
      <w:numPr>
        <w:numId w:val="1"/>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adjustRightInd w:val="0"/>
      <w:spacing w:after="120" w:before="120" w:line="240" w:lineRule="auto"/>
      <w:ind w:left="936" w:hanging="576"/>
      <w:jc w:val="both"/>
    </w:pPr>
    <w:rPr>
      <w:rFonts w:ascii="Calibri" w:cs="Arial" w:eastAsia="Times New Roman" w:hAnsi="Calibri"/>
      <w:lang w:eastAsia="zh-CN"/>
    </w:rPr>
  </w:style>
  <w:style w:type="paragraph" w:styleId="GPSL3numberedclause" w:customStyle="1">
    <w:name w:val="GPS L3 numbered clause"/>
    <w:basedOn w:val="GPSL2numberedclause"/>
    <w:link w:val="GPSL3numberedclauseChar"/>
    <w:qFormat w:val="1"/>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link w:val="GPSL5numberedclauseChar"/>
    <w:qFormat w:val="1"/>
    <w:pPr>
      <w:numPr>
        <w:ilvl w:val="4"/>
      </w:numPr>
      <w:tabs>
        <w:tab w:val="left" w:pos="3402"/>
      </w:tabs>
      <w:ind w:left="3402" w:hanging="567"/>
    </w:pPr>
  </w:style>
  <w:style w:type="character" w:styleId="GPSL5numberedclauseChar" w:customStyle="1">
    <w:name w:val="GPS L5 numbered clause Char"/>
    <w:link w:val="GPSL5numberedclause"/>
    <w:rPr>
      <w:rFonts w:ascii="Calibri" w:cs="Arial" w:eastAsia="Times New Roman" w:hAnsi="Calibri"/>
      <w:szCs w:val="20"/>
      <w:lang w:eastAsia="zh-CN"/>
    </w:rPr>
  </w:style>
  <w:style w:type="paragraph" w:styleId="GPSL3Indent" w:customStyle="1">
    <w:name w:val="GPS L3 Indent"/>
    <w:basedOn w:val="Normal"/>
    <w:pPr>
      <w:tabs>
        <w:tab w:val="left" w:pos="2127"/>
      </w:tabs>
      <w:adjustRightInd w:val="0"/>
      <w:spacing w:after="120" w:before="120" w:line="240" w:lineRule="auto"/>
      <w:ind w:left="2127"/>
      <w:jc w:val="both"/>
    </w:pPr>
    <w:rPr>
      <w:rFonts w:ascii="Arial" w:cs="Arial" w:eastAsia="Times New Roman" w:hAnsi="Arial"/>
      <w:lang w:eastAsia="zh-CN" w:val="en-US"/>
    </w:rPr>
  </w:style>
  <w:style w:type="paragraph" w:styleId="GPSL2Indent" w:customStyle="1">
    <w:name w:val="GPS L2 Indent"/>
    <w:basedOn w:val="GPSL2numberedclause"/>
    <w:link w:val="GPSL2IndentChar"/>
    <w:qFormat w:val="1"/>
    <w:pPr>
      <w:numPr>
        <w:ilvl w:val="0"/>
        <w:numId w:val="0"/>
      </w:numPr>
      <w:tabs>
        <w:tab w:val="left" w:pos="709"/>
        <w:tab w:val="left" w:pos="2127"/>
      </w:tabs>
      <w:ind w:left="709"/>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character" w:styleId="GPSL2IndentChar" w:customStyle="1">
    <w:name w:val="GPS L2 Indent Char"/>
    <w:link w:val="GPSL2Indent"/>
    <w:rPr>
      <w:rFonts w:ascii="Calibri" w:cs="Arial" w:eastAsia="Times New Roman" w:hAnsi="Calibri"/>
      <w:lang w:eastAsia="zh-CN"/>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ind w:left="360"/>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cheduleL1" w:customStyle="1">
    <w:name w:val="Schedule L1"/>
    <w:basedOn w:val="Normal"/>
    <w:pPr>
      <w:numPr>
        <w:numId w:val="3"/>
      </w:numPr>
      <w:adjustRightInd w:val="0"/>
      <w:spacing w:after="240" w:line="240" w:lineRule="auto"/>
      <w:jc w:val="both"/>
      <w:outlineLvl w:val="0"/>
    </w:pPr>
    <w:rPr>
      <w:rFonts w:ascii="Times New Roman" w:cs="Times New Roman" w:eastAsia="STZhongsong" w:hAnsi="Times New Roman"/>
      <w:szCs w:val="20"/>
      <w:lang w:eastAsia="zh-CN"/>
    </w:rPr>
  </w:style>
  <w:style w:type="paragraph" w:styleId="ScheduleL2" w:customStyle="1">
    <w:name w:val="Schedule L2"/>
    <w:basedOn w:val="Normal"/>
    <w:link w:val="ScheduleL2Char"/>
    <w:pPr>
      <w:numPr>
        <w:ilvl w:val="1"/>
        <w:numId w:val="3"/>
      </w:numPr>
      <w:adjustRightInd w:val="0"/>
      <w:spacing w:after="240" w:line="240" w:lineRule="auto"/>
      <w:jc w:val="both"/>
      <w:outlineLvl w:val="1"/>
    </w:pPr>
    <w:rPr>
      <w:rFonts w:ascii="Times New Roman" w:cs="Times New Roman" w:eastAsia="STZhongsong" w:hAnsi="Times New Roman"/>
      <w:szCs w:val="20"/>
      <w:lang w:eastAsia="zh-CN"/>
    </w:rPr>
  </w:style>
  <w:style w:type="paragraph" w:styleId="ScheduleL3" w:customStyle="1">
    <w:name w:val="Schedule L3"/>
    <w:basedOn w:val="Normal"/>
    <w:link w:val="ScheduleL3Char"/>
    <w:pPr>
      <w:numPr>
        <w:ilvl w:val="2"/>
        <w:numId w:val="3"/>
      </w:numPr>
      <w:adjustRightInd w:val="0"/>
      <w:spacing w:after="240" w:line="240" w:lineRule="auto"/>
      <w:jc w:val="both"/>
      <w:outlineLvl w:val="2"/>
    </w:pPr>
    <w:rPr>
      <w:rFonts w:ascii="Times New Roman" w:cs="Times New Roman" w:eastAsia="STZhongsong" w:hAnsi="Times New Roman"/>
      <w:szCs w:val="20"/>
      <w:lang w:eastAsia="zh-CN"/>
    </w:rPr>
  </w:style>
  <w:style w:type="paragraph" w:styleId="ScheduleL4" w:customStyle="1">
    <w:name w:val="Schedule L4"/>
    <w:basedOn w:val="Normal"/>
    <w:pPr>
      <w:numPr>
        <w:ilvl w:val="3"/>
        <w:numId w:val="3"/>
      </w:numPr>
      <w:adjustRightInd w:val="0"/>
      <w:spacing w:after="240" w:line="240" w:lineRule="auto"/>
      <w:jc w:val="both"/>
      <w:outlineLvl w:val="3"/>
    </w:pPr>
    <w:rPr>
      <w:rFonts w:ascii="Times New Roman" w:cs="Times New Roman" w:eastAsia="STZhongsong" w:hAnsi="Times New Roman"/>
      <w:szCs w:val="20"/>
      <w:lang w:eastAsia="zh-CN"/>
    </w:rPr>
  </w:style>
  <w:style w:type="paragraph" w:styleId="ScheduleL5" w:customStyle="1">
    <w:name w:val="Schedule L5"/>
    <w:basedOn w:val="Normal"/>
    <w:pPr>
      <w:numPr>
        <w:ilvl w:val="4"/>
        <w:numId w:val="3"/>
      </w:numPr>
      <w:adjustRightInd w:val="0"/>
      <w:spacing w:after="240" w:line="240" w:lineRule="auto"/>
      <w:jc w:val="both"/>
      <w:outlineLvl w:val="4"/>
    </w:pPr>
    <w:rPr>
      <w:rFonts w:ascii="Times New Roman" w:cs="Times New Roman" w:eastAsia="STZhongsong" w:hAnsi="Times New Roman"/>
      <w:szCs w:val="20"/>
      <w:lang w:eastAsia="zh-CN"/>
    </w:rPr>
  </w:style>
  <w:style w:type="paragraph" w:styleId="ScheduleL6" w:customStyle="1">
    <w:name w:val="Schedule L6"/>
    <w:basedOn w:val="Normal"/>
    <w:pPr>
      <w:numPr>
        <w:ilvl w:val="5"/>
        <w:numId w:val="3"/>
      </w:numPr>
      <w:adjustRightInd w:val="0"/>
      <w:spacing w:after="240" w:line="240" w:lineRule="auto"/>
      <w:jc w:val="both"/>
      <w:outlineLvl w:val="5"/>
    </w:pPr>
    <w:rPr>
      <w:rFonts w:ascii="Times New Roman" w:cs="Times New Roman" w:eastAsia="STZhongsong" w:hAnsi="Times New Roman"/>
      <w:szCs w:val="20"/>
      <w:lang w:eastAsia="zh-CN"/>
    </w:rPr>
  </w:style>
  <w:style w:type="paragraph" w:styleId="ScheduleL7" w:customStyle="1">
    <w:name w:val="Schedule L7"/>
    <w:basedOn w:val="Normal"/>
    <w:pPr>
      <w:numPr>
        <w:ilvl w:val="6"/>
        <w:numId w:val="3"/>
      </w:numPr>
      <w:adjustRightInd w:val="0"/>
      <w:spacing w:after="240" w:line="240" w:lineRule="auto"/>
      <w:jc w:val="both"/>
      <w:outlineLvl w:val="6"/>
    </w:pPr>
    <w:rPr>
      <w:rFonts w:ascii="Times New Roman" w:cs="Times New Roman" w:eastAsia="STZhongsong" w:hAnsi="Times New Roman"/>
      <w:szCs w:val="20"/>
      <w:lang w:eastAsia="zh-CN"/>
    </w:rPr>
  </w:style>
  <w:style w:type="paragraph" w:styleId="ScheduleL8" w:customStyle="1">
    <w:name w:val="Schedule L8"/>
    <w:basedOn w:val="Normal"/>
    <w:pPr>
      <w:numPr>
        <w:ilvl w:val="7"/>
        <w:numId w:val="3"/>
      </w:numPr>
      <w:adjustRightInd w:val="0"/>
      <w:spacing w:after="240" w:line="240" w:lineRule="auto"/>
      <w:jc w:val="both"/>
      <w:outlineLvl w:val="7"/>
    </w:pPr>
    <w:rPr>
      <w:rFonts w:ascii="Times New Roman" w:cs="Times New Roman" w:eastAsia="STZhongsong" w:hAnsi="Times New Roman"/>
      <w:szCs w:val="20"/>
      <w:lang w:eastAsia="zh-CN"/>
    </w:rPr>
  </w:style>
  <w:style w:type="paragraph" w:styleId="ScheduleL9" w:customStyle="1">
    <w:name w:val="Schedule L9"/>
    <w:basedOn w:val="Normal"/>
    <w:pPr>
      <w:numPr>
        <w:ilvl w:val="8"/>
        <w:numId w:val="3"/>
      </w:numPr>
      <w:adjustRightInd w:val="0"/>
      <w:spacing w:after="240" w:line="240" w:lineRule="auto"/>
      <w:jc w:val="both"/>
      <w:outlineLvl w:val="8"/>
    </w:pPr>
    <w:rPr>
      <w:rFonts w:ascii="Times New Roman" w:cs="Times New Roman" w:eastAsia="STZhongsong" w:hAnsi="Times New Roman"/>
      <w:szCs w:val="20"/>
      <w:lang w:eastAsia="zh-CN"/>
    </w:rPr>
  </w:style>
  <w:style w:type="character" w:styleId="ScheduleL2Char" w:customStyle="1">
    <w:name w:val="Schedule L2 Char"/>
    <w:link w:val="ScheduleL2"/>
    <w:locked w:val="1"/>
    <w:rPr>
      <w:rFonts w:ascii="Times New Roman" w:cs="Times New Roman" w:eastAsia="STZhongsong" w:hAnsi="Times New Roman"/>
      <w:szCs w:val="20"/>
      <w:lang w:eastAsia="zh-CN"/>
    </w:rPr>
  </w:style>
  <w:style w:type="character" w:styleId="ScheduleL3Char" w:customStyle="1">
    <w:name w:val="Schedule L3 Char"/>
    <w:link w:val="ScheduleL3"/>
    <w:locked w:val="1"/>
    <w:rPr>
      <w:rFonts w:ascii="Times New Roman" w:cs="Times New Roman" w:eastAsia="STZhongsong" w:hAnsi="Times New Roman"/>
      <w:szCs w:val="20"/>
      <w:lang w:eastAsia="zh-CN"/>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Schedule1" w:customStyle="1">
    <w:name w:val="Schedule 1"/>
    <w:basedOn w:val="Normal"/>
    <w:next w:val="BodyText"/>
    <w:pPr>
      <w:keepNext w:val="1"/>
      <w:numPr>
        <w:numId w:val="5"/>
      </w:numPr>
      <w:spacing w:after="240" w:line="240" w:lineRule="auto"/>
      <w:jc w:val="both"/>
    </w:pPr>
    <w:rPr>
      <w:rFonts w:ascii="Times New Roman" w:cs="Times New Roman" w:eastAsia="Times New Roman" w:hAnsi="Times New Roman"/>
      <w:b w:val="1"/>
      <w:caps w:val="1"/>
      <w:szCs w:val="20"/>
    </w:rPr>
  </w:style>
  <w:style w:type="paragraph" w:styleId="Schedule2" w:customStyle="1">
    <w:name w:val="Schedule 2"/>
    <w:basedOn w:val="Normal"/>
    <w:next w:val="BodyText"/>
    <w:pPr>
      <w:keepNext w:val="1"/>
      <w:numPr>
        <w:ilvl w:val="1"/>
        <w:numId w:val="5"/>
      </w:numPr>
      <w:spacing w:after="210" w:line="264" w:lineRule="auto"/>
      <w:jc w:val="both"/>
    </w:pPr>
    <w:rPr>
      <w:rFonts w:ascii="Times New Roman" w:cs="Times New Roman" w:eastAsia="Times New Roman" w:hAnsi="Times New Roman"/>
      <w:sz w:val="23"/>
      <w:szCs w:val="20"/>
    </w:rPr>
  </w:style>
  <w:style w:type="paragraph" w:styleId="Schedule3" w:customStyle="1">
    <w:name w:val="Schedule 3"/>
    <w:basedOn w:val="Normal"/>
    <w:pPr>
      <w:numPr>
        <w:ilvl w:val="2"/>
        <w:numId w:val="5"/>
      </w:numPr>
      <w:spacing w:after="210" w:line="264" w:lineRule="auto"/>
      <w:jc w:val="both"/>
    </w:pPr>
    <w:rPr>
      <w:rFonts w:ascii="Times New Roman" w:cs="Times New Roman" w:eastAsia="Times New Roman" w:hAnsi="Times New Roman"/>
      <w:sz w:val="23"/>
      <w:szCs w:val="20"/>
    </w:rPr>
  </w:style>
  <w:style w:type="paragraph" w:styleId="Schedule4" w:customStyle="1">
    <w:name w:val="Schedule 4"/>
    <w:basedOn w:val="Normal"/>
    <w:pPr>
      <w:numPr>
        <w:ilvl w:val="3"/>
        <w:numId w:val="5"/>
      </w:numPr>
      <w:spacing w:after="210" w:line="264" w:lineRule="auto"/>
      <w:jc w:val="both"/>
    </w:pPr>
    <w:rPr>
      <w:rFonts w:ascii="Times New Roman" w:cs="Times New Roman" w:eastAsia="Times New Roman" w:hAnsi="Times New Roman"/>
      <w:sz w:val="23"/>
      <w:szCs w:val="20"/>
    </w:rPr>
  </w:style>
  <w:style w:type="paragraph" w:styleId="Schedule5" w:customStyle="1">
    <w:name w:val="Schedule 5"/>
    <w:basedOn w:val="Normal"/>
    <w:next w:val="Normal"/>
    <w:pPr>
      <w:numPr>
        <w:ilvl w:val="4"/>
        <w:numId w:val="5"/>
      </w:numPr>
      <w:spacing w:after="210" w:line="264" w:lineRule="auto"/>
      <w:jc w:val="both"/>
    </w:pPr>
    <w:rPr>
      <w:rFonts w:ascii="Times New Roman" w:cs="Times New Roman" w:eastAsia="Times New Roman" w:hAnsi="Times New Roman"/>
      <w:sz w:val="23"/>
      <w:szCs w:val="20"/>
    </w:rPr>
  </w:style>
  <w:style w:type="paragraph" w:styleId="Schedule6" w:customStyle="1">
    <w:name w:val="Schedule 6"/>
    <w:basedOn w:val="Normal"/>
    <w:next w:val="Normal"/>
    <w:pPr>
      <w:keepNext w:val="1"/>
      <w:pageBreakBefore w:val="1"/>
      <w:numPr>
        <w:ilvl w:val="5"/>
        <w:numId w:val="5"/>
      </w:numPr>
      <w:spacing w:after="360" w:line="312" w:lineRule="auto"/>
      <w:jc w:val="center"/>
    </w:pPr>
    <w:rPr>
      <w:rFonts w:ascii="Times New Roman Bold" w:cs="Times New Roman" w:eastAsia="Times New Roman" w:hAnsi="Times New Roman Bold"/>
      <w:b w:val="1"/>
      <w:smallCaps w:val="1"/>
      <w:szCs w:val="20"/>
    </w:rPr>
  </w:style>
  <w:style w:type="paragraph" w:styleId="Schedule7" w:customStyle="1">
    <w:name w:val="Schedule 7"/>
    <w:basedOn w:val="Normal"/>
    <w:next w:val="BodyText"/>
    <w:pPr>
      <w:keepNext w:val="1"/>
      <w:numPr>
        <w:ilvl w:val="6"/>
        <w:numId w:val="5"/>
      </w:numPr>
      <w:spacing w:after="60" w:before="120" w:line="264" w:lineRule="auto"/>
      <w:jc w:val="both"/>
    </w:pPr>
    <w:rPr>
      <w:rFonts w:ascii="Times New Roman Bold" w:cs="Times New Roman" w:eastAsia="Times New Roman" w:hAnsi="Times New Roman Bold"/>
      <w:b w:val="1"/>
      <w:sz w:val="23"/>
      <w:szCs w:val="20"/>
    </w:rPr>
  </w:style>
  <w:style w:type="paragraph" w:styleId="Schedule8" w:customStyle="1">
    <w:name w:val="Schedule 8"/>
    <w:basedOn w:val="Normal"/>
    <w:pPr>
      <w:numPr>
        <w:ilvl w:val="7"/>
        <w:numId w:val="5"/>
      </w:numPr>
      <w:spacing w:after="210" w:line="264" w:lineRule="auto"/>
      <w:jc w:val="both"/>
    </w:pPr>
    <w:rPr>
      <w:rFonts w:ascii="Times New Roman" w:cs="Times New Roman" w:eastAsia="Times New Roman" w:hAnsi="Times New Roman"/>
      <w:sz w:val="23"/>
      <w:szCs w:val="20"/>
    </w:rPr>
  </w:style>
  <w:style w:type="paragraph" w:styleId="Schedule9" w:customStyle="1">
    <w:name w:val="Schedule 9"/>
    <w:basedOn w:val="Normal"/>
    <w:next w:val="Normal"/>
    <w:pPr>
      <w:numPr>
        <w:ilvl w:val="8"/>
        <w:numId w:val="5"/>
      </w:numPr>
      <w:spacing w:after="210" w:line="264" w:lineRule="auto"/>
      <w:jc w:val="both"/>
    </w:pPr>
    <w:rPr>
      <w:rFonts w:ascii="Times New Roman" w:cs="Times New Roman" w:eastAsia="Times New Roman" w:hAnsi="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val="1"/>
    <w:unhideWhenUsed w:val="1"/>
    <w:pPr>
      <w:spacing w:after="120"/>
    </w:pPr>
  </w:style>
  <w:style w:type="character" w:styleId="BodyTextChar" w:customStyle="1">
    <w:name w:val="Body Text Char"/>
    <w:basedOn w:val="DefaultParagraphFont"/>
    <w:link w:val="BodyText"/>
    <w:uiPriority w:val="99"/>
    <w:semiHidden w:val="1"/>
  </w:style>
  <w:style w:type="paragraph" w:styleId="9plus" w:customStyle="1">
    <w:name w:val="9 plus"/>
    <w:basedOn w:val="Normal"/>
    <w:pPr>
      <w:numPr>
        <w:numId w:val="8"/>
      </w:numPr>
      <w:spacing w:after="210" w:line="264" w:lineRule="auto"/>
      <w:jc w:val="both"/>
    </w:pPr>
    <w:rPr>
      <w:rFonts w:ascii="Times New Roman" w:cs="Times New Roman" w:eastAsia="Times New Roman" w:hAnsi="Times New Roman"/>
      <w:sz w:val="23"/>
      <w:szCs w:val="20"/>
    </w:rPr>
  </w:style>
  <w:style w:type="paragraph" w:styleId="ListParagraph">
    <w:name w:val="List Paragraph"/>
    <w:basedOn w:val="Normal"/>
    <w:uiPriority w:val="34"/>
    <w:qFormat w:val="1"/>
    <w:pPr>
      <w:spacing w:after="0" w:line="240" w:lineRule="auto"/>
      <w:ind w:left="720"/>
    </w:pPr>
    <w:rPr>
      <w:rFonts w:ascii="Calibri" w:cs="Times New Roman" w:hAnsi="Calibri"/>
    </w:rPr>
  </w:style>
  <w:style w:type="paragraph" w:styleId="GPSSchTitleandNumber" w:customStyle="1">
    <w:name w:val="GPS Sch Title and Number"/>
    <w:basedOn w:val="Normal"/>
    <w:link w:val="GPSSchTitleandNumberChar"/>
    <w:qFormat w:val="1"/>
    <w:rsid w:val="00D417E2"/>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sid w:val="00D417E2"/>
    <w:rPr>
      <w:rFonts w:ascii="Arial Bold" w:cs="Times New Roman" w:eastAsia="STZhongsong" w:hAnsi="Arial Bold"/>
      <w:b w:val="1"/>
      <w:caps w:val="1"/>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25wsiJ1/uwiBvFTLNxvHUsbR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ycDJjc3J5MgloLjE0N24yenIyCWguM283YWxuazIJaC4yM2NrdnZkMghoLmlodjYzNjIJaC4zMmhpb3F6MgloLjFobXN5eXMyCWguNDFtZ2htbDIJaC4yZ3JxcnVlMglpZC52eDEyMjc4AHIhMV9ab1RzMXcwYkVpUnVXbWl4WjhDUG4tTUkwdDI0OV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2020-02-27T11:56:00Z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