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pageBreakBefore w:val="0"/>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Framework Schedule 3 (Framework Prices)</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both"/>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Framework Prices are used to calculate Call-Off Charges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hanging="5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Framework Prices: </w:t>
      </w:r>
    </w:p>
    <w:p w:rsidR="00000000" w:rsidDel="00000000" w:rsidP="00000000" w:rsidRDefault="00000000" w:rsidRPr="00000000" w14:paraId="0000000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 w:val="left" w:leader="none" w:pos="1440"/>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be used as the basis for the charges (and are maximums that the Supplier may charge) under each Call Off Contract; and</w:t>
      </w:r>
    </w:p>
    <w:p w:rsidR="00000000" w:rsidDel="00000000" w:rsidP="00000000" w:rsidRDefault="00000000" w:rsidRPr="00000000" w14:paraId="0000000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cannot be increased except as in accordance with this Schedule.</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hanging="5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Charges:</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calculated in accordance with the terms of the Call Off Contract and in particular in accordance with the terms of the Order Form; </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cannot be increased except as specifically permitted by the Call Off Contract and in particular shall only be subject to Indexation where specifically stated in the Order Form; </w:t>
      </w:r>
      <w:r w:rsidDel="00000000" w:rsidR="00000000" w:rsidRPr="00000000">
        <w:rPr>
          <w:rFonts w:ascii="Arial" w:cs="Arial" w:eastAsia="Arial" w:hAnsi="Arial"/>
          <w:sz w:val="24"/>
          <w:szCs w:val="24"/>
          <w:rtl w:val="0"/>
        </w:rPr>
        <w:t xml:space="preserve">and</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not be impacted by any change to the Framework Prices.</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hanging="504"/>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variation to the Charges payable under a Call Off Contract must be agreed between the Supplier and the Buyer and implemented using the same procedure for altering Framework Prices in accordance with the provisions of this Framework Schedule 3</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Framework Prices are calculated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hanging="5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pricing mechanisms and prices set out in Annex 1 shall be available for use in calculation of Framework Prices in Call Off Contracts.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both"/>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Are costs and expenses included in the Framework Prices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hanging="5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 as expressly set out in Paragraph 4 below, or otherwise stated in a Call Off Order Form] the Framework Prices shall include all costs and expenses relating to the provision of Deliverables. No further amounts shall be payable in respect of matters such as:</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 w:val="left" w:leader="none" w:pos="1980"/>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incidental expenses such as travel, subsistence and lodging, document or report reproduction, shipping, desktop or office equipment costs, network or data interchange costs or other telecommunications charges; or</w:t>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 w:val="left" w:leader="none" w:pos="1980"/>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costs incurred prior to the commencement of any Call Off Contract.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the Supplier can ask to change the Framework Prices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hanging="5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Framework Prices will be fixed for the first</w:t>
      </w:r>
      <w:r w:rsidDel="00000000" w:rsidR="00000000" w:rsidRPr="00000000">
        <w:rPr>
          <w:rFonts w:ascii="Arial" w:cs="Arial" w:eastAsia="Arial" w:hAnsi="Arial"/>
          <w:sz w:val="24"/>
          <w:szCs w:val="24"/>
          <w:rtl w:val="0"/>
        </w:rPr>
        <w:t xml:space="preserve"> one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following the Framework Contract Commencement Date (the date of expiry of such period is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After this Framework Prices can only be adjusted on each following yearly anniversary (the date of each such anniversary is also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hanging="504"/>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w1diistj9q3i" w:id="3"/>
      <w:bookmarkEnd w:id="3"/>
      <w:r w:rsidDel="00000000" w:rsidR="00000000" w:rsidRPr="00000000">
        <w:rPr>
          <w:rFonts w:ascii="Arial" w:cs="Arial" w:eastAsia="Arial" w:hAnsi="Arial"/>
          <w:sz w:val="24"/>
          <w:szCs w:val="24"/>
          <w:rtl w:val="0"/>
        </w:rPr>
        <w:t xml:space="preserve">Framework price increases shall not automatically trigger Call-Off Contract price increases. Any Call-Off Contract price increases shall be considered between the Supplier and Buyer.</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hanging="504"/>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give CCS at least three (3) Months' notice in writing prior to a Review Date where it wants to request an increase.  If the Supplier does not give notice in time then it will only be able to request an increase prior to the next Review Date.</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hanging="5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notice requesting an increase shall include:</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 of the Framework Prices to be reviewed;</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Framework Price under review, written evidence of the justification for the requested increase including:</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 w:val="left" w:leader="none" w:pos="1985"/>
          <w:tab w:val="left" w:leader="none" w:pos="2552"/>
        </w:tabs>
        <w:spacing w:after="120" w:before="120" w:line="240" w:lineRule="auto"/>
        <w:ind w:left="1985" w:right="0" w:hanging="815"/>
        <w:jc w:val="left"/>
        <w:rPr>
          <w:rFonts w:ascii="Arial" w:cs="Arial" w:eastAsia="Arial" w:hAnsi="Arial"/>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 breakdown of the profit and cost components that comprise the relevant Framework Price;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 w:val="left" w:leader="none" w:pos="1985"/>
          <w:tab w:val="left" w:leader="none" w:pos="2552"/>
        </w:tabs>
        <w:spacing w:after="120" w:before="120" w:line="240" w:lineRule="auto"/>
        <w:ind w:left="1985" w:right="0" w:hanging="815"/>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[details of the movement in the different identified cost components of the relevant Framework Price;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 w:val="left" w:leader="none" w:pos="1985"/>
          <w:tab w:val="left" w:leader="none" w:pos="2552"/>
        </w:tabs>
        <w:spacing w:after="120" w:before="120" w:line="240" w:lineRule="auto"/>
        <w:ind w:left="1985" w:right="0" w:hanging="815"/>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[reasons for the movement in the different identified cost components of the relevant Framework Price;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 w:val="left" w:leader="none" w:pos="1985"/>
          <w:tab w:val="left" w:leader="none" w:pos="2552"/>
        </w:tabs>
        <w:spacing w:after="120" w:before="120" w:line="240" w:lineRule="auto"/>
        <w:ind w:left="1985" w:right="0" w:hanging="815"/>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[evidence that the Supplier has attempted to mitigate against the increase in the relevant cost components; and</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1985"/>
          <w:tab w:val="left" w:leader="none" w:pos="2127"/>
          <w:tab w:val="left" w:leader="none" w:pos="1985"/>
          <w:tab w:val="left" w:leader="none" w:pos="2552"/>
        </w:tabs>
        <w:spacing w:after="120" w:before="120" w:line="240" w:lineRule="auto"/>
        <w:ind w:left="1985" w:right="0" w:hanging="815"/>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[evidence that the Supplier’s profit component of the relevant  Framework Price is no greater than that applying to Framework Prices using the same pricing mechanism as at the Contract Commencement Date.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0" w:right="0" w:hanging="17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[G</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hanging="504"/>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CCS shall consider each request for a price increase.  CCS may grant Approval to an increase at its sole discretion.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hanging="504"/>
        <w:jc w:val="left"/>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Where CCS approves an increase then it will be implemented from the first (1st) Working Day following the relevant Review Date or such later date as CCS may determine at its sole discretion and Annex 1 shall be updated accordingly.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events that allow the Supplier to change the Framework Prices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1134" w:right="0" w:hanging="5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Framework Prices can also be varied (and Annex 1 will be updated accordingly) due to:</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Specific Change in Law in accordance with Clause 24;</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review in accordance with insurance requirements in Clause 13; </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no Benchmarking Schedule:: a benchmarking review in accordance with Call Off Schedule 16 (Benchmarking)]</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98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request from the Supplier, which it can make at any time, to decrease the Framework Prices; and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 w:val="left" w:leader="none" w:pos="2127"/>
        </w:tabs>
        <w:spacing w:after="120" w:before="120" w:line="240" w:lineRule="auto"/>
        <w:ind w:left="1656" w:right="0" w:hanging="137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pageBreakBefore w:val="0"/>
        <w:rPr>
          <w:rFonts w:ascii="Arial" w:cs="Arial" w:eastAsia="Arial" w:hAnsi="Arial"/>
          <w:b w:val="1"/>
          <w:sz w:val="36"/>
          <w:szCs w:val="36"/>
        </w:rPr>
      </w:pPr>
      <w:bookmarkStart w:colFirst="0" w:colLast="0" w:name="_heading=h.1t3h5sf" w:id="5"/>
      <w:bookmarkEnd w:id="5"/>
      <w:r w:rsidDel="00000000" w:rsidR="00000000" w:rsidRPr="00000000">
        <w:br w:type="page"/>
      </w:r>
      <w:r w:rsidDel="00000000" w:rsidR="00000000" w:rsidRPr="00000000">
        <w:rPr>
          <w:rFonts w:ascii="Arial" w:cs="Arial" w:eastAsia="Arial" w:hAnsi="Arial"/>
          <w:b w:val="1"/>
          <w:sz w:val="36"/>
          <w:szCs w:val="36"/>
          <w:rtl w:val="0"/>
        </w:rPr>
        <w:t xml:space="preserve">Annex 1: Rates and Prices</w:t>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1: Time and Materials</w:t>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(and its Sub-Contractor) shall not be entitled to include any uplift for risks or contingencies within its day rates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rates below shall [not] be subject to variation by way of Indexation</w:t>
      </w:r>
      <w:r w:rsidDel="00000000" w:rsidR="00000000" w:rsidRPr="00000000">
        <w:rPr>
          <w:rtl w:val="0"/>
        </w:rPr>
      </w:r>
    </w:p>
    <w:tbl>
      <w:tblPr>
        <w:tblStyle w:val="Table1"/>
        <w:tblW w:w="9016.0" w:type="dxa"/>
        <w:jc w:val="left"/>
        <w:tblInd w:w="-11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450"/>
        <w:gridCol w:w="4566"/>
        <w:tblGridChange w:id="0">
          <w:tblGrid>
            <w:gridCol w:w="4450"/>
            <w:gridCol w:w="4566"/>
          </w:tblGrid>
        </w:tblGridChange>
      </w:tblGrid>
      <w:tr>
        <w:trPr>
          <w:cantSplit w:val="0"/>
          <w:tblHeader w:val="0"/>
        </w:trPr>
        <w:tc>
          <w:tcPr>
            <w:shd w:fill="548dd4" w:val="clear"/>
          </w:tcPr>
          <w:p w:rsidR="00000000" w:rsidDel="00000000" w:rsidP="00000000" w:rsidRDefault="00000000" w:rsidRPr="00000000" w14:paraId="0000002D">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Staff Grade</w:t>
            </w:r>
          </w:p>
        </w:tc>
        <w:tc>
          <w:tcPr>
            <w:shd w:fill="548dd4" w:val="clear"/>
          </w:tcPr>
          <w:p w:rsidR="00000000" w:rsidDel="00000000" w:rsidP="00000000" w:rsidRDefault="00000000" w:rsidRPr="00000000" w14:paraId="0000002E">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Day Rate (£)</w:t>
            </w:r>
          </w:p>
        </w:tc>
      </w:tr>
      <w:tr>
        <w:trPr>
          <w:cantSplit w:val="0"/>
          <w:tblHeader w:val="0"/>
        </w:trPr>
        <w:tc>
          <w:tcPr/>
          <w:p w:rsidR="00000000" w:rsidDel="00000000" w:rsidP="00000000" w:rsidRDefault="00000000" w:rsidRPr="00000000" w14:paraId="0000002F">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2: Fixed Prices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rates below shall [not] be subject to variation by way of Indexation</w:t>
      </w:r>
      <w:r w:rsidDel="00000000" w:rsidR="00000000" w:rsidRPr="00000000">
        <w:rPr>
          <w:rtl w:val="0"/>
        </w:rPr>
      </w:r>
    </w:p>
    <w:tbl>
      <w:tblPr>
        <w:tblStyle w:val="Table2"/>
        <w:tblW w:w="9016.0" w:type="dxa"/>
        <w:jc w:val="left"/>
        <w:tblInd w:w="-11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508"/>
        <w:gridCol w:w="4508"/>
        <w:tblGridChange w:id="0">
          <w:tblGrid>
            <w:gridCol w:w="4508"/>
            <w:gridCol w:w="4508"/>
          </w:tblGrid>
        </w:tblGridChange>
      </w:tblGrid>
      <w:tr>
        <w:trPr>
          <w:cantSplit w:val="0"/>
          <w:tblHeader w:val="0"/>
        </w:trPr>
        <w:tc>
          <w:tcPr>
            <w:shd w:fill="548dd4" w:val="clear"/>
          </w:tcPr>
          <w:p w:rsidR="00000000" w:rsidDel="00000000" w:rsidP="00000000" w:rsidRDefault="00000000" w:rsidRPr="00000000" w14:paraId="00000035">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Price</w:t>
            </w:r>
          </w:p>
        </w:tc>
        <w:tc>
          <w:tcPr>
            <w:shd w:fill="548dd4" w:val="clear"/>
          </w:tcPr>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Fixed Framework Price (£)</w:t>
            </w:r>
          </w:p>
        </w:tc>
      </w:tr>
      <w:tr>
        <w:trPr>
          <w:cantSplit w:val="0"/>
          <w:tblHeader w:val="0"/>
        </w:trPr>
        <w:tc>
          <w:tcPr/>
          <w:p w:rsidR="00000000" w:rsidDel="00000000" w:rsidP="00000000" w:rsidRDefault="00000000" w:rsidRPr="00000000" w14:paraId="00000037">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[e.g. M3]</w:t>
            </w:r>
          </w:p>
        </w:tc>
        <w:tc>
          <w:tcPr>
            <w:shd w:fill="ffffff" w:val="clear"/>
          </w:tcPr>
          <w:p w:rsidR="00000000" w:rsidDel="00000000" w:rsidP="00000000" w:rsidRDefault="00000000" w:rsidRPr="00000000" w14:paraId="00000038">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9">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[e.g. SC3]</w:t>
            </w:r>
          </w:p>
        </w:tc>
        <w:tc>
          <w:tcPr>
            <w:shd w:fill="ffffff" w:val="clear"/>
          </w:tcPr>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B">
      <w:pPr>
        <w:pageBreakBefore w:val="0"/>
        <w:rPr>
          <w:rFonts w:ascii="Arial" w:cs="Arial" w:eastAsia="Arial" w:hAnsi="Arial"/>
          <w:b w:val="1"/>
          <w:smallCaps w:val="1"/>
          <w:sz w:val="24"/>
          <w:szCs w:val="24"/>
        </w:rPr>
      </w:pPr>
      <w:bookmarkStart w:colFirst="0" w:colLast="0" w:name="_heading=h.4d34og8" w:id="6"/>
      <w:bookmarkEnd w:id="6"/>
      <w:r w:rsidDel="00000000" w:rsidR="00000000" w:rsidRPr="00000000">
        <w:rPr>
          <w:rtl w:val="0"/>
        </w:rPr>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Table 3: Volume Based Prices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rates below shall [not] be subject to variation by way of Indexation</w:t>
      </w:r>
      <w:r w:rsidDel="00000000" w:rsidR="00000000" w:rsidRPr="00000000">
        <w:rPr>
          <w:rtl w:val="0"/>
        </w:rPr>
      </w:r>
    </w:p>
    <w:tbl>
      <w:tblPr>
        <w:tblStyle w:val="Table3"/>
        <w:tblW w:w="9016.0" w:type="dxa"/>
        <w:jc w:val="left"/>
        <w:tblInd w:w="-11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254"/>
        <w:gridCol w:w="2254"/>
        <w:gridCol w:w="2254"/>
        <w:gridCol w:w="2254"/>
        <w:tblGridChange w:id="0">
          <w:tblGrid>
            <w:gridCol w:w="2254"/>
            <w:gridCol w:w="2254"/>
            <w:gridCol w:w="2254"/>
            <w:gridCol w:w="2254"/>
          </w:tblGrid>
        </w:tblGridChange>
      </w:tblGrid>
      <w:tr>
        <w:trPr>
          <w:cantSplit w:val="0"/>
          <w:tblHeader w:val="0"/>
        </w:trPr>
        <w:tc>
          <w:tcPr>
            <w:shd w:fill="548dd4" w:val="clear"/>
          </w:tcPr>
          <w:p w:rsidR="00000000" w:rsidDel="00000000" w:rsidP="00000000" w:rsidRDefault="00000000" w:rsidRPr="00000000" w14:paraId="0000003E">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Price Number</w:t>
            </w:r>
          </w:p>
        </w:tc>
        <w:tc>
          <w:tcPr>
            <w:shd w:fill="548dd4" w:val="clear"/>
          </w:tcPr>
          <w:p w:rsidR="00000000" w:rsidDel="00000000" w:rsidP="00000000" w:rsidRDefault="00000000" w:rsidRPr="00000000" w14:paraId="0000003F">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w:t>
            </w:r>
          </w:p>
        </w:tc>
        <w:tc>
          <w:tcPr>
            <w:shd w:fill="548dd4" w:val="clear"/>
          </w:tcPr>
          <w:p w:rsidR="00000000" w:rsidDel="00000000" w:rsidP="00000000" w:rsidRDefault="00000000" w:rsidRPr="00000000" w14:paraId="00000040">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Number of units per Service Period</w:t>
            </w:r>
          </w:p>
        </w:tc>
        <w:tc>
          <w:tcPr>
            <w:shd w:fill="548dd4" w:val="clear"/>
          </w:tcPr>
          <w:p w:rsidR="00000000" w:rsidDel="00000000" w:rsidP="00000000" w:rsidRDefault="00000000" w:rsidRPr="00000000" w14:paraId="00000041">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Charge per unit (£)</w:t>
            </w:r>
          </w:p>
        </w:tc>
      </w:tr>
      <w:tr>
        <w:trPr>
          <w:cantSplit w:val="0"/>
          <w:tblHeader w:val="0"/>
        </w:trPr>
        <w:tc>
          <w:tcPr>
            <w:vMerge w:val="restart"/>
          </w:tcPr>
          <w:p w:rsidR="00000000" w:rsidDel="00000000" w:rsidP="00000000" w:rsidRDefault="00000000" w:rsidRPr="00000000" w14:paraId="00000042">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[e.g. SC1]</w:t>
            </w:r>
          </w:p>
        </w:tc>
        <w:tc>
          <w:tcPr>
            <w:vMerge w:val="restart"/>
          </w:tcPr>
          <w:p w:rsidR="00000000" w:rsidDel="00000000" w:rsidP="00000000" w:rsidRDefault="00000000" w:rsidRPr="00000000" w14:paraId="00000043">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 [         ]</w:t>
            </w:r>
          </w:p>
        </w:tc>
        <w:tc>
          <w:tcPr/>
          <w:p w:rsidR="00000000" w:rsidDel="00000000" w:rsidP="00000000" w:rsidRDefault="00000000" w:rsidRPr="00000000" w14:paraId="00000045">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rHeight w:val="701" w:hRule="atLeast"/>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 [         ]</w:t>
            </w:r>
          </w:p>
        </w:tc>
        <w:tc>
          <w:tcPr/>
          <w:p w:rsidR="00000000" w:rsidDel="00000000" w:rsidP="00000000" w:rsidRDefault="00000000" w:rsidRPr="00000000" w14:paraId="00000049">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vMerge w:val="restart"/>
          </w:tcPr>
          <w:p w:rsidR="00000000" w:rsidDel="00000000" w:rsidP="00000000" w:rsidRDefault="00000000" w:rsidRPr="00000000" w14:paraId="0000004A">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[e.g. SC2]</w:t>
            </w:r>
          </w:p>
        </w:tc>
        <w:tc>
          <w:tcPr>
            <w:vMerge w:val="restart"/>
          </w:tcPr>
          <w:p w:rsidR="00000000" w:rsidDel="00000000" w:rsidP="00000000" w:rsidRDefault="00000000" w:rsidRPr="00000000" w14:paraId="0000004B">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 [         ]</w:t>
            </w:r>
          </w:p>
        </w:tc>
        <w:tc>
          <w:tcPr/>
          <w:p w:rsidR="00000000" w:rsidDel="00000000" w:rsidP="00000000" w:rsidRDefault="00000000" w:rsidRPr="00000000" w14:paraId="0000004D">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 [         ]</w:t>
            </w:r>
          </w:p>
        </w:tc>
        <w:tc>
          <w:tcPr/>
          <w:p w:rsidR="00000000" w:rsidDel="00000000" w:rsidP="00000000" w:rsidRDefault="00000000" w:rsidRPr="00000000" w14:paraId="00000051">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14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52">
      <w:pPr>
        <w:pageBreakBefore w:val="0"/>
        <w:rPr>
          <w:rFonts w:ascii="Arial" w:cs="Arial" w:eastAsia="Arial" w:hAnsi="Arial"/>
          <w:b w:val="1"/>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888"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tabs>
        <w:tab w:val="left" w:leader="none" w:pos="720"/>
        <w:tab w:val="left" w:leader="none" w:pos="1440"/>
        <w:tab w:val="left" w:leader="none" w:pos="2160"/>
        <w:tab w:val="left" w:leader="none" w:pos="2880"/>
        <w:tab w:val="left" w:leader="none" w:pos="3600"/>
        <w:tab w:val="left" w:leader="none" w:pos="4320"/>
        <w:tab w:val="left" w:leader="none" w:pos="4905"/>
      </w:tabs>
      <w:spacing w:after="0" w:line="240" w:lineRule="auto"/>
      <w:jc w:val="both"/>
      <w:rPr>
        <w:rFonts w:ascii="Arial" w:cs="Arial" w:eastAsia="Arial" w:hAnsi="Arial"/>
        <w:color w:val="bfbfbf"/>
        <w:sz w:val="20"/>
        <w:szCs w:val="20"/>
      </w:rPr>
    </w:pPr>
    <w:r w:rsidDel="00000000" w:rsidR="00000000" w:rsidRPr="00000000">
      <w:rPr>
        <w:rFonts w:ascii="Arial" w:cs="Arial" w:eastAsia="Arial" w:hAnsi="Arial"/>
        <w:sz w:val="20"/>
        <w:szCs w:val="20"/>
        <w:rtl w:val="0"/>
      </w:rPr>
      <w:t xml:space="preserve">Model Version: v3.1</w:t>
      <w:tab/>
    </w:r>
    <w:r w:rsidDel="00000000" w:rsidR="00000000" w:rsidRPr="00000000">
      <w:rPr>
        <w:rFonts w:ascii="Arial" w:cs="Arial" w:eastAsia="Arial" w:hAnsi="Arial"/>
        <w:color w:val="bfbfbf"/>
        <w:sz w:val="20"/>
        <w:szCs w:val="20"/>
        <w:rtl w:val="0"/>
      </w:rPr>
      <w:tab/>
    </w:r>
    <w:r w:rsidDel="00000000" w:rsidR="00000000" w:rsidRPr="00000000">
      <w:rPr>
        <w:color w:val="bfbfbf"/>
        <w:rtl w:val="0"/>
      </w:rPr>
      <w:tab/>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tabs>
        <w:tab w:val="center" w:leader="none" w:pos="4513"/>
        <w:tab w:val="right" w:leader="none" w:pos="9026"/>
      </w:tabs>
      <w:spacing w:after="0" w:lineRule="auto"/>
      <w:rPr/>
    </w:pPr>
    <w:r w:rsidDel="00000000" w:rsidR="00000000" w:rsidRPr="00000000">
      <w:rPr>
        <w:rtl w:val="0"/>
      </w:rPr>
      <w:t xml:space="preserve">Framework Ref: RM</w:t>
      <w:tab/>
      <w:t xml:space="preserve">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tabs>
        <w:tab w:val="left" w:leader="none" w:pos="720"/>
        <w:tab w:val="left" w:leader="none" w:pos="1440"/>
        <w:tab w:val="left" w:leader="none" w:pos="2160"/>
        <w:tab w:val="left" w:leader="none" w:pos="2880"/>
        <w:tab w:val="left" w:leader="none" w:pos="3600"/>
        <w:tab w:val="left" w:leader="none" w:pos="4320"/>
        <w:tab w:val="left" w:leader="none" w:pos="4905"/>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v3.0</w:t>
      <w:tab/>
      <w:tab/>
      <w:tab/>
    </w:r>
    <w:r w:rsidDel="00000000" w:rsidR="00000000" w:rsidRPr="00000000">
      <w:rPr>
        <w:rtl w:val="0"/>
      </w:rPr>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Framework Schedule 3 (Framework Prices)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Framework Schedule 3 (Framework Prices)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9.9999999999998"/>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990" w:hanging="720"/>
      </w:pPr>
      <w:rPr>
        <w:b w:val="0"/>
        <w:i w:val="0"/>
        <w:smallCaps w:val="0"/>
        <w:strike w:val="0"/>
        <w:color w:val="000000"/>
        <w:sz w:val="24"/>
        <w:szCs w:val="24"/>
        <w:u w:val="none"/>
        <w:vertAlign w:val="baseline"/>
      </w:rPr>
    </w:lvl>
    <w:lvl w:ilvl="3">
      <w:start w:val="1"/>
      <w:numFmt w:val="lowerLetter"/>
      <w:lvlText w:val="(%4)"/>
      <w:lvlJc w:val="left"/>
      <w:pPr>
        <w:ind w:left="3272" w:hanging="720"/>
      </w:pPr>
      <w:rPr>
        <w:rFonts w:ascii="Calibri" w:cs="Calibri" w:eastAsia="Calibri" w:hAnsi="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character" w:styleId="Emphasis">
    <w:name w:val="Emphasis"/>
    <w:basedOn w:val="DefaultParagraphFont"/>
    <w:rPr>
      <w:i w:val="1"/>
      <w:iCs w:val="1"/>
    </w:rPr>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GPSL1CLAUSEHEADING" w:customStyle="1">
    <w:name w:val="GPS L1 CLAUSE HEADING"/>
    <w:basedOn w:val="Normal"/>
    <w:next w:val="Normal"/>
    <w:qFormat w:val="1"/>
    <w:pPr>
      <w:numPr>
        <w:numId w:val="1"/>
      </w:numPr>
      <w:tabs>
        <w:tab w:val="left" w:pos="0"/>
      </w:tabs>
      <w:adjustRightInd w:val="0"/>
      <w:spacing w:after="240" w:before="240" w:line="240" w:lineRule="auto"/>
      <w:ind w:left="644"/>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1"/>
      </w:numPr>
      <w:tabs>
        <w:tab w:val="left" w:pos="1134"/>
      </w:tabs>
      <w:adjustRightInd w:val="0"/>
      <w:spacing w:after="120" w:before="120" w:line="240" w:lineRule="auto"/>
      <w:jc w:val="both"/>
    </w:pPr>
    <w:rPr>
      <w:rFonts w:ascii="Calibri" w:cs="Arial" w:eastAsia="Times New Roman" w:hAnsi="Calibri"/>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ind w:left="1656"/>
    </w:pPr>
  </w:style>
  <w:style w:type="paragraph" w:styleId="GPSL4numberedclause" w:customStyle="1">
    <w:name w:val="GPS L4 numbered clause"/>
    <w:basedOn w:val="GPSL3numberedclause"/>
    <w:link w:val="GPSL4numberedclauseChar"/>
    <w:qFormat w:val="1"/>
    <w:pPr>
      <w:numPr>
        <w:ilvl w:val="3"/>
      </w:numPr>
      <w:tabs>
        <w:tab w:val="clear" w:pos="1985"/>
        <w:tab w:val="clear" w:pos="2127"/>
      </w:tabs>
      <w:ind w:left="2592" w:hanging="936"/>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3numberedclauseChar" w:customStyle="1">
    <w:name w:val="GPS L3 numbered clause Char"/>
    <w:link w:val="GPSL3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szCs w:val="20"/>
      <w:lang w:eastAsia="zh-CN"/>
    </w:rPr>
  </w:style>
  <w:style w:type="paragraph" w:styleId="GPSL5numberedclause" w:customStyle="1">
    <w:name w:val="GPS L5 numbered clause"/>
    <w:basedOn w:val="GPSL4numberedclause"/>
    <w:qFormat w:val="1"/>
    <w:pPr>
      <w:numPr>
        <w:ilvl w:val="4"/>
      </w:numPr>
      <w:tabs>
        <w:tab w:val="num" w:pos="360"/>
        <w:tab w:val="left" w:pos="3402"/>
      </w:tabs>
      <w:ind w:left="3402" w:hanging="567"/>
    </w:pPr>
  </w:style>
  <w:style w:type="paragraph" w:styleId="GPSL2Indent" w:customStyle="1">
    <w:name w:val="GPS L2 Indent"/>
    <w:basedOn w:val="GPSL2numberedclause"/>
    <w:link w:val="GPSL2IndentChar"/>
    <w:qFormat w:val="1"/>
    <w:pPr>
      <w:numPr>
        <w:ilvl w:val="0"/>
        <w:numId w:val="0"/>
      </w:numPr>
      <w:tabs>
        <w:tab w:val="clear" w:pos="1134"/>
        <w:tab w:val="left" w:pos="709"/>
        <w:tab w:val="left" w:pos="2127"/>
      </w:tabs>
      <w:ind w:left="709"/>
    </w:pPr>
  </w:style>
  <w:style w:type="paragraph" w:styleId="GPSL6numbered" w:customStyle="1">
    <w:name w:val="GPS L6 numbered"/>
    <w:basedOn w:val="GPSL5numberedclause"/>
    <w:qFormat w:val="1"/>
    <w:pPr>
      <w:numPr>
        <w:ilvl w:val="5"/>
      </w:numPr>
      <w:tabs>
        <w:tab w:val="num" w:pos="360"/>
        <w:tab w:val="left" w:pos="4253"/>
      </w:tabs>
      <w:ind w:left="4253" w:hanging="709"/>
    </w:pPr>
  </w:style>
  <w:style w:type="character" w:styleId="GPSL2IndentChar" w:customStyle="1">
    <w:name w:val="GPS L2 Indent Char"/>
    <w:link w:val="GPSL2Indent"/>
    <w:rPr>
      <w:rFonts w:ascii="Calibri" w:cs="Arial" w:eastAsia="Times New Roman" w:hAnsi="Calibri"/>
      <w:lang w:eastAsia="zh-CN"/>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link w:val="GPSDefinitionL2Char"/>
    <w:qFormat w:val="1"/>
    <w:pPr>
      <w:numPr>
        <w:ilvl w:val="1"/>
      </w:numPr>
      <w:tabs>
        <w:tab w:val="clear" w:pos="-9"/>
        <w:tab w:val="left" w:pos="144"/>
      </w:tabs>
      <w:ind w:hanging="545"/>
    </w:pPr>
  </w:style>
  <w:style w:type="character" w:styleId="GPSDefinitionL2Char" w:customStyle="1">
    <w:name w:val="GPS Definition L2 Char"/>
    <w:link w:val="GPSDefinitionL2"/>
    <w:rPr>
      <w:rFonts w:ascii="Arial" w:cs="Arial" w:eastAsia="Times New Roman" w:hAnsi="Arial"/>
    </w:rPr>
  </w:style>
  <w:style w:type="paragraph" w:styleId="GPSDefinitionL3" w:customStyle="1">
    <w:name w:val="GPS Definition L3"/>
    <w:basedOn w:val="GPSDefinitionL2"/>
    <w:qFormat w:val="1"/>
    <w:pPr>
      <w:numPr>
        <w:ilvl w:val="2"/>
      </w:numPr>
      <w:tabs>
        <w:tab w:val="num" w:pos="360"/>
      </w:tabs>
    </w:pPr>
  </w:style>
  <w:style w:type="paragraph" w:styleId="GPSDefinitionL4" w:customStyle="1">
    <w:name w:val="GPS Definition L4"/>
    <w:basedOn w:val="GPSDefinitionL3"/>
    <w:qFormat w:val="1"/>
    <w:pPr>
      <w:numPr>
        <w:ilvl w:val="3"/>
      </w:numPr>
      <w:tabs>
        <w:tab w:val="num" w:pos="360"/>
      </w:tabs>
    </w:pPr>
  </w:style>
  <w:style w:type="paragraph" w:styleId="GPSL2Guidance" w:customStyle="1">
    <w:name w:val="GPS L2 Guidance"/>
    <w:basedOn w:val="GPSL2numberedclause"/>
    <w:link w:val="GPSL2GuidanceChar"/>
    <w:qFormat w:val="1"/>
    <w:pPr>
      <w:numPr>
        <w:ilvl w:val="0"/>
        <w:numId w:val="0"/>
      </w:numPr>
      <w:ind w:left="1134"/>
    </w:pPr>
    <w:rPr>
      <w:b w:val="1"/>
      <w:i w:val="1"/>
    </w:rPr>
  </w:style>
  <w:style w:type="character" w:styleId="GPSL2GuidanceChar" w:customStyle="1">
    <w:name w:val="GPS L2 Guidance Char"/>
    <w:link w:val="GPSL2Guidance"/>
    <w:rPr>
      <w:rFonts w:ascii="Calibri" w:cs="Arial" w:eastAsia="Times New Roman" w:hAnsi="Calibri"/>
      <w:b w:val="1"/>
      <w:i w:val="1"/>
      <w:lang w:eastAsia="zh-CN"/>
    </w:rPr>
  </w:style>
  <w:style w:type="paragraph" w:styleId="GPSL1SCHEDULEHeading" w:customStyle="1">
    <w:name w:val="GPS L1 SCHEDULE Heading"/>
    <w:basedOn w:val="GPSL1CLAUSEHEADING"/>
    <w:link w:val="GPSL1SCHEDULEHeadingChar"/>
    <w:autoRedefine w:val="1"/>
    <w:rsid w:val="003C776E"/>
    <w:pPr>
      <w:tabs>
        <w:tab w:val="clear" w:pos="0"/>
        <w:tab w:val="left" w:pos="142"/>
      </w:tabs>
      <w:spacing w:before="120"/>
      <w:ind w:left="360"/>
      <w:outlineLvl w:val="9"/>
    </w:pPr>
    <w:rPr>
      <w:rFonts w:ascii="Arial" w:hAnsi="Arial"/>
      <w:caps w:val="0"/>
      <w:sz w:val="24"/>
    </w:rPr>
  </w:style>
  <w:style w:type="character" w:styleId="GPSL1SCHEDULEHeadingChar" w:customStyle="1">
    <w:name w:val="GPS L1 SCHEDULE Heading Char"/>
    <w:link w:val="GPSL1SCHEDULEHeading"/>
    <w:rsid w:val="003C776E"/>
    <w:rPr>
      <w:rFonts w:ascii="Arial" w:cs="Arial" w:eastAsia="STZhongsong" w:hAnsi="Arial"/>
      <w:b w:val="1"/>
      <w:sz w:val="24"/>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PSSchAnnexname" w:customStyle="1">
    <w:name w:val="GPS Sch Annex name"/>
    <w:basedOn w:val="Normal"/>
    <w:link w:val="GPSSchAnnexnameChar"/>
    <w:qFormat w:val="1"/>
    <w:pPr>
      <w:keepNext w:val="1"/>
      <w:adjustRightInd w:val="0"/>
      <w:spacing w:after="240" w:line="240" w:lineRule="auto"/>
      <w:jc w:val="center"/>
      <w:outlineLvl w:val="1"/>
    </w:pPr>
    <w:rPr>
      <w:rFonts w:ascii="Calibri" w:cs="Times New Roman" w:eastAsia="STZhongsong" w:hAnsi="Calibri"/>
      <w:b w:val="1"/>
      <w:caps w:val="1"/>
      <w:sz w:val="20"/>
      <w:lang w:eastAsia="zh-CN"/>
    </w:r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character" w:styleId="Heading6Char5" w:customStyle="1">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val="1"/>
    <w:locked w:val="1"/>
    <w:rPr>
      <w:rFonts w:ascii="Calibri" w:hAnsi="Calibri"/>
      <w:b w:val="1"/>
      <w:lang w:eastAsia="en-GB" w:val="x-none"/>
    </w:rPr>
  </w:style>
  <w:style w:type="paragraph" w:styleId="MarginText" w:customStyle="1">
    <w:name w:val="Margin Text"/>
    <w:basedOn w:val="Normal"/>
    <w:link w:val="MarginTextChar"/>
    <w:pPr>
      <w:keepNext w:val="1"/>
      <w:adjustRightInd w:val="0"/>
      <w:spacing w:after="120" w:before="240" w:line="240" w:lineRule="auto"/>
      <w:ind w:left="142"/>
      <w:jc w:val="both"/>
    </w:pPr>
    <w:rPr>
      <w:rFonts w:ascii="Calibri" w:cs="Times New Roman" w:eastAsia="STZhongsong" w:hAnsi="Calibri"/>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2NumberedBoldHeading" w:customStyle="1">
    <w:name w:val="GPS L2 Numbered Bold Heading"/>
    <w:basedOn w:val="Normal"/>
    <w:link w:val="GPSL2NumberedBoldHeadingChar"/>
    <w:qFormat w:val="1"/>
    <w:pPr>
      <w:tabs>
        <w:tab w:val="left" w:pos="1134"/>
      </w:tabs>
      <w:adjustRightInd w:val="0"/>
      <w:spacing w:after="120" w:before="120" w:line="240" w:lineRule="auto"/>
      <w:ind w:left="644" w:hanging="218"/>
      <w:jc w:val="both"/>
    </w:pPr>
    <w:rPr>
      <w:rFonts w:ascii="Calibri" w:cs="Arial" w:eastAsia="Times New Roman" w:hAnsi="Calibri"/>
      <w:b w:val="1"/>
      <w:lang w:eastAsia="zh-CN"/>
    </w:rPr>
  </w:style>
  <w:style w:type="paragraph" w:styleId="GPSL1Guidance" w:customStyle="1">
    <w:name w:val="GPS L1 Guidance"/>
    <w:basedOn w:val="Normal"/>
    <w:link w:val="GPSL1GuidanceChar"/>
    <w:qFormat w:val="1"/>
    <w:pPr>
      <w:overflowPunct w:val="0"/>
      <w:autoSpaceDE w:val="0"/>
      <w:autoSpaceDN w:val="0"/>
      <w:adjustRightInd w:val="0"/>
      <w:spacing w:after="120" w:before="240" w:line="240" w:lineRule="auto"/>
      <w:ind w:left="426"/>
      <w:jc w:val="both"/>
      <w:textAlignment w:val="baseline"/>
    </w:pPr>
    <w:rPr>
      <w:rFonts w:ascii="Calibri" w:cs="Arial" w:eastAsia="Times New Roman" w:hAnsi="Calibri"/>
      <w:b w:val="1"/>
      <w:i w:val="1"/>
    </w:rPr>
  </w:style>
  <w:style w:type="paragraph" w:styleId="GPSL2GuidanceNumbered" w:customStyle="1">
    <w:name w:val="GPS L2 Guidance Numbered"/>
    <w:basedOn w:val="Normal"/>
    <w:link w:val="GPSL2GuidanceNumberedChar"/>
    <w:qFormat w:val="1"/>
    <w:pPr>
      <w:numPr>
        <w:numId w:val="3"/>
      </w:numPr>
      <w:tabs>
        <w:tab w:val="left" w:pos="1418"/>
      </w:tabs>
      <w:adjustRightInd w:val="0"/>
      <w:spacing w:after="120" w:before="120" w:line="240" w:lineRule="auto"/>
      <w:jc w:val="both"/>
    </w:pPr>
    <w:rPr>
      <w:rFonts w:ascii="Calibri" w:cs="Arial" w:eastAsia="Times New Roman" w:hAnsi="Calibri"/>
      <w:b w:val="1"/>
      <w:i w:val="1"/>
      <w:lang w:eastAsia="zh-CN"/>
    </w:rPr>
  </w:style>
  <w:style w:type="paragraph" w:styleId="GPSL3Guidance" w:customStyle="1">
    <w:name w:val="GPS L3 Guidance"/>
    <w:basedOn w:val="GPSL3numberedclause"/>
    <w:link w:val="GPSL3GuidanceChar"/>
    <w:qFormat w:val="1"/>
    <w:pPr>
      <w:numPr>
        <w:ilvl w:val="0"/>
        <w:numId w:val="0"/>
      </w:numPr>
      <w:tabs>
        <w:tab w:val="clear" w:pos="2127"/>
      </w:tabs>
      <w:ind w:left="1985"/>
    </w:pPr>
    <w:rPr>
      <w:b w:val="1"/>
      <w:i w:val="1"/>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Calibri" w:cs="Arial" w:eastAsia="Times New Roman" w:hAnsi="Calibri"/>
      <w:color w:val="ffffff"/>
      <w:sz w:val="16"/>
      <w:szCs w:val="16"/>
    </w:rPr>
  </w:style>
  <w:style w:type="paragraph" w:styleId="GPSSchPart" w:customStyle="1">
    <w:name w:val="GPS Sch Part"/>
    <w:basedOn w:val="GPSSchAnnexname"/>
    <w:link w:val="GPSSchPartChar"/>
    <w:qFormat w:val="1"/>
    <w:pPr>
      <w:spacing w:before="240"/>
      <w:ind w:firstLine="426"/>
      <w:outlineLvl w:val="9"/>
    </w:pPr>
    <w:rPr>
      <w:rFonts w:ascii="Arial Bold" w:hAnsi="Arial Bold"/>
      <w:sz w:val="22"/>
    </w:rPr>
  </w:style>
  <w:style w:type="paragraph" w:styleId="GPSL2Numbered" w:customStyle="1">
    <w:name w:val="GPS L2 Numbered"/>
    <w:basedOn w:val="GPSL2NumberedBoldHeading"/>
    <w:link w:val="GPSL2NumberedChar"/>
    <w:qFormat w:val="1"/>
    <w:pPr>
      <w:tabs>
        <w:tab w:val="left" w:pos="709"/>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4Guidance" w:customStyle="1">
    <w:name w:val="GPS L4 Guidance"/>
    <w:basedOn w:val="GPSL3Guidance"/>
    <w:link w:val="GPSL4GuidanceChar"/>
    <w:qFormat w:val="1"/>
  </w:style>
  <w:style w:type="character" w:styleId="GPSL4GuidanceChar" w:customStyle="1">
    <w:name w:val="GPS L4 Guidance Char"/>
    <w:link w:val="GPSL4Guidance"/>
    <w:locked w:val="1"/>
    <w:rPr>
      <w:rFonts w:ascii="Calibri" w:cs="Arial" w:eastAsia="Times New Roman" w:hAnsi="Calibri"/>
      <w:b w:val="1"/>
      <w:i w:val="1"/>
      <w:lang w:eastAsia="zh-CN"/>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L2GuidanceNumberedChar" w:customStyle="1">
    <w:name w:val="GPS L2 Guidance Numbered Char"/>
    <w:link w:val="GPSL2GuidanceNumbered"/>
    <w:rPr>
      <w:rFonts w:ascii="Calibri" w:cs="Arial" w:eastAsia="Times New Roman" w:hAnsi="Calibri"/>
      <w:b w:val="1"/>
      <w:i w:val="1"/>
      <w:lang w:eastAsia="zh-CN"/>
    </w:rPr>
  </w:style>
  <w:style w:type="character" w:styleId="GPSL3GuidanceChar" w:customStyle="1">
    <w:name w:val="GPS L3 Guidance Char"/>
    <w:link w:val="GPSL3Guidance"/>
    <w:rPr>
      <w:rFonts w:ascii="Calibri" w:cs="Arial" w:eastAsia="Times New Roman" w:hAnsi="Calibri"/>
      <w:b w:val="1"/>
      <w:i w:val="1"/>
      <w:lang w:eastAsia="zh-CN"/>
    </w:rPr>
  </w:style>
  <w:style w:type="character" w:styleId="GPSSchPartChar" w:customStyle="1">
    <w:name w:val="GPS Sch Part Char"/>
    <w:link w:val="GPSSchPart"/>
    <w:rPr>
      <w:rFonts w:ascii="Arial Bold" w:cs="Times New Roman" w:eastAsia="STZhongsong" w:hAnsi="Arial Bold"/>
      <w:b w:val="1"/>
      <w:caps w:val="1"/>
      <w:lang w:eastAsia="zh-CN"/>
    </w:rPr>
  </w:style>
  <w:style w:type="character" w:styleId="Hyperlink">
    <w:name w:val="Hyperlink"/>
    <w:basedOn w:val="DefaultParagraphFont"/>
    <w:uiPriority w:val="99"/>
    <w:unhideWhenUsed w:val="1"/>
    <w:rPr>
      <w:color w:val="0000ff" w:themeColor="hyperlink"/>
      <w:u w:val="single"/>
    </w:rPr>
  </w:style>
  <w:style w:type="paragraph" w:styleId="Normal1" w:customStyle="1">
    <w:name w:val="Normal1"/>
    <w:pPr>
      <w:widowControl w:val="0"/>
      <w:spacing w:after="80" w:line="240" w:lineRule="auto"/>
    </w:pPr>
    <w:rPr>
      <w:rFonts w:ascii="Calibri" w:cs="Calibri" w:eastAsia="Calibri" w:hAnsi="Calibri"/>
      <w:color w:val="000000"/>
    </w:rPr>
  </w:style>
  <w:style w:type="paragraph" w:styleId="Revision">
    <w:name w:val="Revision"/>
    <w:hidden w:val="1"/>
    <w:uiPriority w:val="99"/>
    <w:semiHidden w:val="1"/>
    <w:pPr>
      <w:spacing w:after="0" w:line="240" w:lineRule="auto"/>
    </w:pPr>
  </w:style>
  <w:style w:type="character" w:styleId="GPSL2NumberedBoldHeadingChar" w:customStyle="1">
    <w:name w:val="GPS L2 Numbered Bold Heading Char"/>
    <w:link w:val="GPSL2NumberedBoldHeading"/>
    <w:locked w:val="1"/>
    <w:rsid w:val="0057789E"/>
    <w:rPr>
      <w:rFonts w:ascii="Calibri" w:cs="Arial" w:eastAsia="Times New Roman" w:hAnsi="Calibri"/>
      <w:b w:val="1"/>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1KvY4lBRGFypZnS5SYqYB/91tQ==">CgMxLjAyCGguZ2pkZ3hzMgloLjMwajB6bGwyCWguMWZvYjl0ZTIOaC53MWRpaXN0ajlxM2kyCWguMmV0OTJwMDIJaC4xdDNoNXNmMgloLjRkMzRvZzg4AHIhMV9HZHdtc3AyQUtJMk5hNktzSU9CeXdDVU1xbVhpdzhw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2018-06-14T15:09:00Z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