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Joint Schedule 12 (Supply Chain Visibility)</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4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198.0" w:type="dxa"/>
        <w:jc w:val="left"/>
        <w:tblInd w:w="52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2"/>
        <w:gridCol w:w="4856"/>
        <w:tblGridChange w:id="0">
          <w:tblGrid>
            <w:gridCol w:w="3342"/>
            <w:gridCol w:w="4856"/>
          </w:tblGrid>
        </w:tblGridChange>
      </w:tblGrid>
      <w:tr>
        <w:trPr>
          <w:cantSplit w:val="0"/>
          <w:trHeight w:val="20" w:hRule="atLeast"/>
          <w:tblHeader w:val="0"/>
        </w:trP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"Contracts Finder"</w:t>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Government’s publishing portal for public sector procurement opportunities; </w:t>
            </w:r>
          </w:p>
        </w:tc>
      </w:tr>
      <w:tr>
        <w:trPr>
          <w:cantSplit w:val="0"/>
          <w:trHeight w:val="20" w:hRule="atLeast"/>
          <w:tblHeader w:val="0"/>
        </w:trP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"SME"</w:t>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enterprise falling within the category of micro, small and medium sized enterprises defined by the Commission Recommendation of 6 May 2003 concerning the definition of micro, small and medium sized enterprises; </w:t>
            </w:r>
          </w:p>
        </w:tc>
      </w:tr>
      <w:tr>
        <w:trPr>
          <w:cantSplit w:val="0"/>
          <w:trHeight w:val="20" w:hRule="atLeast"/>
          <w:tblHeader w:val="0"/>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“Supply Chain Information Report Template”</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 at Annex 1 of this Schedule 12; and</w:t>
            </w:r>
          </w:p>
        </w:tc>
      </w:tr>
      <w:tr>
        <w:trPr>
          <w:cantSplit w:val="0"/>
          <w:trHeight w:val="20" w:hRule="atLeast"/>
          <w:tblHeader w:val="0"/>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"VCSE"</w:t>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non-governmental organisation that is value-driven and which principally reinvests its surpluses to further social, environmental or cultural objectives.</w:t>
            </w:r>
          </w:p>
        </w:tc>
      </w:tr>
      <w:tr>
        <w:trPr>
          <w:cantSplit w:val="0"/>
          <w:trHeight w:val="20" w:hRule="atLeast"/>
          <w:tblHeader w:val="0"/>
        </w:trP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 w:val="left" w:leader="none" w:pos="1134"/>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Visibility of Sub-Contract Opportunities in the Supply Chain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shall: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2.3, advertise on Contracts Finder all Sub-Contract opportunities arising from or in connection with the provision of the Deliverables above a minimum threshold of £25,000 that arise during the Contract Period;</w:t>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90 days of awarding a Sub-Contract to a Subcontractor, update the notice on Contract Finder with details of the successful Subcontractor; </w:t>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the number, type and value of the Sub-Contract opportunities placed on Contracts Finder advertised and awarded in its supply chain during the Contract Period; </w:t>
      </w:r>
    </w:p>
    <w:p w:rsidR="00000000" w:rsidDel="00000000" w:rsidP="00000000" w:rsidRDefault="00000000" w:rsidRPr="00000000" w14:paraId="0000001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reports on the information at Paragraph 2.1.3 to the Relevant Authority in the format and frequency as reasonably specified by the Relevant Authority; and </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Contracts Finder to its suppliers and encourage those organisations to register on Contracts Finder.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advert referred to at Paragraph 2.1.1 of this Schedule 12 shall provide a full and detailed description of the Sub-Contract opportunity with each of the mandatory fields being completed on Contracts Finder by the Supplier.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on the Supplier set out at Paragraph 2.1 shall only apply in respect of Sub-Contract opportunities arising after the Effective Date.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Notwithstanding Paragraph 2.1, the Authority may by giving its prior Approval, agree that a Sub-Contract opportunity is not required to be advertised by the Supplier on Contracts Finder.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Visibility of Supply Chain Spend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993" w:right="0" w:hanging="56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contract revenue received directly on the Contract;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value of sub-contracted revenues under the Contract (including revenues for non-SMEs/non-VCSEs); and</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value of sub-contracted revenues to SMEs and VCSEs.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993" w:right="0" w:hanging="63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993"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further agrees and acknowledges that it may not make any amendment to the Supply Chain Information Report Template without the prior Approval of the Authority.  </w:t>
      </w:r>
    </w:p>
    <w:p w:rsidR="00000000" w:rsidDel="00000000" w:rsidP="00000000" w:rsidRDefault="00000000" w:rsidRPr="00000000" w14:paraId="0000002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ageBreakBefore w:val="0"/>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1</w:t>
      </w:r>
    </w:p>
    <w:p w:rsidR="00000000" w:rsidDel="00000000" w:rsidP="00000000" w:rsidRDefault="00000000" w:rsidRPr="00000000" w14:paraId="0000002E">
      <w:pPr>
        <w:pageBreakBefore w:val="0"/>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Supply Chain Information Report template</w:t>
      </w:r>
    </w:p>
    <w:p w:rsidR="00000000" w:rsidDel="00000000" w:rsidP="00000000" w:rsidRDefault="00000000" w:rsidRPr="00000000" w14:paraId="0000002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rFonts w:ascii="Arial" w:cs="Arial" w:eastAsia="Arial" w:hAnsi="Arial"/>
          <w:sz w:val="24"/>
          <w:szCs w:val="24"/>
        </w:rPr>
      </w:pPr>
      <w:r w:rsidDel="00000000" w:rsidR="00000000" w:rsidRPr="00000000">
        <w:rPr>
          <w:rFonts w:ascii="Arial" w:cs="Arial" w:eastAsia="Arial" w:hAnsi="Arial"/>
          <w:sz w:val="24"/>
          <w:szCs w:val="24"/>
        </w:rPr>
        <w:pict>
          <v:shape id="_x0000_i1029" style="width:116.8pt;height:56.8pt" o:ole="" type="#_x0000_t75">
            <v:imagedata r:id="rId1" o:title=""/>
          </v:shape>
          <o:OLEObject DrawAspect="Icon" r:id="rId2" ObjectID="_1467461564" ProgID="Excel.Sheet.12" ShapeID="_x0000_i1029" Type="Embed"/>
        </w:pict>
      </w:r>
      <w:r w:rsidDel="00000000" w:rsidR="00000000" w:rsidRPr="00000000">
        <w:rPr>
          <w:rtl w:val="0"/>
        </w:rPr>
      </w:r>
    </w:p>
    <w:p w:rsidR="00000000" w:rsidDel="00000000" w:rsidP="00000000" w:rsidRDefault="00000000" w:rsidRPr="00000000" w14:paraId="0000003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ageBreakBefore w:val="0"/>
        <w:rPr>
          <w:rFonts w:ascii="Arial" w:cs="Arial" w:eastAsia="Arial" w:hAnsi="Arial"/>
          <w:sz w:val="24"/>
          <w:szCs w:val="24"/>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Framework Ref: RM6353 Tyres, G</w:t>
    </w:r>
    <w:r w:rsidDel="00000000" w:rsidR="00000000" w:rsidRPr="00000000">
      <w:rPr>
        <w:rFonts w:ascii="Arial" w:cs="Arial" w:eastAsia="Arial" w:hAnsi="Arial"/>
        <w:rtl w:val="0"/>
      </w:rPr>
      <w:t xml:space="preserve">lass and Telematics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Version: 1.0</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 Version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Schedule 12 (Supply Chain Visibility)</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Crown Copyright 20</w:t>
    </w:r>
    <w:r w:rsidDel="00000000" w:rsidR="00000000" w:rsidRPr="00000000">
      <w:rPr>
        <w:rFonts w:ascii="Arial" w:cs="Arial" w:eastAsia="Arial" w:hAnsi="Arial"/>
        <w:rtl w:val="0"/>
      </w:rPr>
      <w:t xml:space="preserve">23</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305DC"/>
    <w:pPr>
      <w:ind w:left="720"/>
      <w:contextualSpacing w:val="1"/>
    </w:pPr>
  </w:style>
  <w:style w:type="paragraph" w:styleId="Sectionheading" w:customStyle="1">
    <w:name w:val="Section heading"/>
    <w:basedOn w:val="Normal"/>
    <w:rsid w:val="001B27C3"/>
    <w:pPr>
      <w:suppressAutoHyphens w:val="1"/>
      <w:spacing w:after="0" w:line="360" w:lineRule="auto"/>
      <w:jc w:val="both"/>
    </w:pPr>
    <w:rPr>
      <w:rFonts w:ascii="Times New Roman" w:cs="Times New Roman" w:eastAsia="Times New Roman" w:hAnsi="Times New Roman"/>
      <w:b w:val="1"/>
      <w:bCs w:val="1"/>
      <w:sz w:val="24"/>
      <w:szCs w:val="24"/>
      <w:u w:val="single"/>
    </w:rPr>
  </w:style>
  <w:style w:type="paragraph" w:styleId="Header">
    <w:name w:val="header"/>
    <w:basedOn w:val="Normal"/>
    <w:link w:val="HeaderChar"/>
    <w:uiPriority w:val="99"/>
    <w:unhideWhenUsed w:val="1"/>
    <w:rsid w:val="009D7C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7CF0"/>
  </w:style>
  <w:style w:type="paragraph" w:styleId="Footer">
    <w:name w:val="footer"/>
    <w:basedOn w:val="Normal"/>
    <w:link w:val="FooterChar"/>
    <w:uiPriority w:val="99"/>
    <w:unhideWhenUsed w:val="1"/>
    <w:rsid w:val="009D7C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D7CF0"/>
  </w:style>
  <w:style w:type="paragraph" w:styleId="GPSL2Numbered" w:customStyle="1">
    <w:name w:val="GPS L2 Numbered"/>
    <w:basedOn w:val="Normal"/>
    <w:link w:val="GPSL2NumberedChar"/>
    <w:qFormat w:val="1"/>
    <w:rsid w:val="0042661A"/>
    <w:pPr>
      <w:tabs>
        <w:tab w:val="left" w:pos="709"/>
        <w:tab w:val="left" w:pos="1134"/>
      </w:tabs>
      <w:adjustRightInd w:val="0"/>
      <w:spacing w:after="120" w:before="120" w:line="240" w:lineRule="auto"/>
      <w:ind w:hanging="360"/>
      <w:jc w:val="both"/>
    </w:pPr>
    <w:rPr>
      <w:rFonts w:ascii="Calibri" w:cs="Arial" w:eastAsia="Times New Roman" w:hAnsi="Calibri"/>
      <w:lang w:eastAsia="zh-CN"/>
    </w:rPr>
  </w:style>
  <w:style w:type="character" w:styleId="GPSL2NumberedChar" w:customStyle="1">
    <w:name w:val="GPS L2 Numbered Char"/>
    <w:link w:val="GPSL2Numbered"/>
    <w:locked w:val="1"/>
    <w:rsid w:val="0042661A"/>
    <w:rPr>
      <w:rFonts w:ascii="Calibri" w:cs="Arial" w:eastAsia="Times New Roman" w:hAnsi="Calibri"/>
      <w:lang w:eastAsia="zh-CN"/>
    </w:rPr>
  </w:style>
  <w:style w:type="table" w:styleId="TableGrid">
    <w:name w:val="Table Grid"/>
    <w:basedOn w:val="TableNormal"/>
    <w:uiPriority w:val="59"/>
    <w:rsid w:val="0042661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package" Target="embeddings/Microsoft_Excel_Sheet1.xlsx"/><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eyo70gdk5yZHTwUQK5F/It86JA==">CgMxLjAyCGguZ2pkZ3hzOAByITFzdXlyOXdwSjVBMkhodG9UVDZkVXpiNEpBU3BwYkNyRw==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2018-07-20T11:48:00Z</dcterms:created>
  <dc:creator>Nana Bowen</dc:creator>
</cp:coreProperties>
</file>