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7 (Financial Difficulties)</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0" w:line="276" w:lineRule="auto"/>
        <w:ind w:left="-142" w:right="0" w:firstLine="0.26771653543310237"/>
        <w:jc w:val="left"/>
        <w:rPr>
          <w:rFonts w:ascii="Arial" w:cs="Arial" w:eastAsia="Arial" w:hAnsi="Arial"/>
          <w:b w:val="0"/>
          <w:i w:val="0"/>
          <w:smallCaps w:val="0"/>
          <w:strike w:val="0"/>
          <w:color w:val="000000"/>
          <w:sz w:val="36"/>
          <w:szCs w:val="36"/>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Guidance: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This Schedule provides CCS and the Buyer with the option of using Credit Ratings and/or Financial Indicators for the purposes of the Financial Distress Provisions. Buyers may use any combination of these indicators to suit their own</w:t>
      </w:r>
      <w:r w:rsidDel="00000000" w:rsidR="00000000" w:rsidRPr="00000000">
        <w:rPr>
          <w:rFonts w:ascii="Arial" w:cs="Arial" w:eastAsia="Arial" w:hAnsi="Arial"/>
          <w:sz w:val="24"/>
          <w:szCs w:val="24"/>
          <w:highlight w:val="white"/>
          <w:rtl w:val="0"/>
        </w:rPr>
        <w:t xml:space="preserve"> 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equirements subject to the detailed guidance below.</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4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definitions shall apply:</w:t>
      </w:r>
    </w:p>
    <w:p w:rsidR="00000000" w:rsidDel="00000000" w:rsidP="00000000" w:rsidRDefault="00000000" w:rsidRPr="00000000" w14:paraId="00000007">
      <w:pPr>
        <w:tabs>
          <w:tab w:val="left" w:leader="none" w:pos="1134"/>
        </w:tabs>
        <w:spacing w:after="120" w:before="120" w:lineRule="auto"/>
        <w:ind w:left="360" w:hanging="501.7322834645669"/>
        <w:jc w:val="left"/>
        <w:rPr>
          <w:rFonts w:ascii="Arial" w:cs="Arial" w:eastAsia="Arial" w:hAnsi="Arial"/>
          <w:sz w:val="24"/>
          <w:szCs w:val="24"/>
        </w:rPr>
      </w:pPr>
      <w:r w:rsidDel="00000000" w:rsidR="00000000" w:rsidRPr="00000000">
        <w:rPr>
          <w:rtl w:val="0"/>
        </w:rPr>
      </w:r>
    </w:p>
    <w:tbl>
      <w:tblPr>
        <w:tblStyle w:val="Table1"/>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05"/>
        <w:gridCol w:w="5250"/>
        <w:tblGridChange w:id="0">
          <w:tblGrid>
            <w:gridCol w:w="4005"/>
            <w:gridCol w:w="5250"/>
          </w:tblGrid>
        </w:tblGridChange>
      </w:tblGrid>
      <w:tr>
        <w:trPr>
          <w:cantSplit w:val="0"/>
          <w:trHeight w:val="1373.9062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8">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“Applicable Financial Indicators”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9">
            <w:pPr>
              <w:keepNext w:val="1"/>
              <w:spacing w:after="240" w:lineRule="auto"/>
              <w:ind w:hanging="141.73228346456688"/>
              <w:jc w:val="center"/>
              <w:rPr>
                <w:rFonts w:ascii="Arial" w:cs="Arial" w:eastAsia="Arial" w:hAnsi="Arial"/>
                <w:smallCaps w:val="1"/>
                <w:sz w:val="24"/>
                <w:szCs w:val="24"/>
              </w:rPr>
            </w:pPr>
            <w:r w:rsidDel="00000000" w:rsidR="00000000" w:rsidRPr="00000000">
              <w:rPr>
                <w:rFonts w:ascii="Arial" w:cs="Arial" w:eastAsia="Arial" w:hAnsi="Arial"/>
                <w:sz w:val="24"/>
                <w:szCs w:val="24"/>
                <w:rtl w:val="0"/>
              </w:rPr>
              <w:t xml:space="preserve"> means the financial indicators from Paragraph </w:t>
            </w:r>
            <w:r w:rsidDel="00000000" w:rsidR="00000000" w:rsidRPr="00000000">
              <w:rPr>
                <w:rFonts w:ascii="Arial" w:cs="Arial" w:eastAsia="Arial" w:hAnsi="Arial"/>
                <w:smallCaps w:val="1"/>
                <w:sz w:val="24"/>
                <w:szCs w:val="24"/>
                <w:rtl w:val="0"/>
              </w:rPr>
              <w:t xml:space="preserve">5.1 </w:t>
            </w:r>
            <w:r w:rsidDel="00000000" w:rsidR="00000000" w:rsidRPr="00000000">
              <w:rPr>
                <w:rFonts w:ascii="Arial" w:cs="Arial" w:eastAsia="Arial" w:hAnsi="Arial"/>
                <w:sz w:val="24"/>
                <w:szCs w:val="24"/>
                <w:rtl w:val="0"/>
              </w:rPr>
              <w:t xml:space="preserve">of this Schedule which are to apply to the Monitored Suppliers as set out in Paragraph 5.2 of this Schedule;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A">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“Board”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B">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means the Supplier’s board of directors;</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C">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“Board Confirmation”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D">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means written confirmation from the Board in accordance with Paragraph 8 of this Schedule;</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E">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“Cabinet Office Markets and Suppliers Team”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F">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means the UK Government’s team responsible for managing the relationship between government and its Strategic Suppliers, or any replacement or successor body carrying out the same function;</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0">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“Credit Rating Threshold”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1">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the minimum credit rating level for each entity in the FDE Group as set out in Annex 1 to this Schedule;</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2">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“FDE Group”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3">
            <w:pPr>
              <w:tabs>
                <w:tab w:val="left" w:leader="none" w:pos="1134"/>
              </w:tabs>
              <w:spacing w:after="120" w:before="120" w:lineRule="auto"/>
              <w:ind w:left="644" w:hanging="785.7322834645669"/>
              <w:jc w:val="center"/>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means the</w:t>
            </w:r>
            <w:r w:rsidDel="00000000" w:rsidR="00000000" w:rsidRPr="00000000">
              <w:rPr>
                <w:rFonts w:ascii="Arial" w:cs="Arial" w:eastAsia="Arial" w:hAnsi="Arial"/>
                <w:sz w:val="24"/>
                <w:szCs w:val="24"/>
                <w:highlight w:val="white"/>
                <w:rtl w:val="0"/>
              </w:rPr>
              <w:t xml:space="preserve"> Supplier, Key Sub-contractors, the Guarantor and the Monitored Suppliers;</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“Financial Distress Event”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5">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Any of the events listed in Paragraph 3.1 of this Schedule;</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6">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“Financial Distress Remediation Plan”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7">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 plan setting out how the Supplier will ensure the continued performance and delivery of the Deliverables in accordance with the Contract in the event that a Financial Distress Event occurs;</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8">
            <w:pPr>
              <w:tabs>
                <w:tab w:val="left" w:leader="none" w:pos="1134"/>
              </w:tabs>
              <w:spacing w:after="120" w:before="120" w:lineRule="auto"/>
              <w:ind w:left="644" w:hanging="785.7322834645669"/>
              <w:jc w:val="center"/>
              <w:rPr>
                <w:rFonts w:ascii="Arial" w:cs="Arial" w:eastAsia="Arial" w:hAnsi="Arial"/>
                <w:b w:val="1"/>
                <w:sz w:val="24"/>
                <w:szCs w:val="24"/>
              </w:rPr>
            </w:pPr>
            <w:bookmarkStart w:colFirst="0" w:colLast="0" w:name="_heading=h.3dy6vkm" w:id="0"/>
            <w:bookmarkEnd w:id="0"/>
            <w:r w:rsidDel="00000000" w:rsidR="00000000" w:rsidRPr="00000000">
              <w:rPr>
                <w:rFonts w:ascii="Arial" w:cs="Arial" w:eastAsia="Arial" w:hAnsi="Arial"/>
                <w:b w:val="1"/>
                <w:sz w:val="24"/>
                <w:szCs w:val="24"/>
                <w:rtl w:val="0"/>
              </w:rPr>
              <w:t xml:space="preserve">“Financial Indicators”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9">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the Supplier, Key Sub-contractors and the Guarantor, means each of the financial indicators set out at paragraph 5.1 of this Schedule and in respect of each Monitored Supplier, means those Applicable Financial Indicators;</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A">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“Financial Target Thresholds”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B">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means the target thresholds for each of the Financial Indicators set out at paragraph 5.1 of this Schedule;</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C">
            <w:pPr>
              <w:tabs>
                <w:tab w:val="left" w:leader="none" w:pos="1134"/>
              </w:tabs>
              <w:spacing w:after="120" w:before="120" w:lineRule="auto"/>
              <w:ind w:left="566.9291338582675" w:hanging="708.66141732283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“Monitored Suppliers”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means those entities specified at paragraph 5.2 of this Schedule;</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“Rating Agencies”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F">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The rating agencies listed in Annex 1 of this Schedule;</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tabs>
                <w:tab w:val="left" w:leader="none" w:pos="1134"/>
              </w:tabs>
              <w:spacing w:after="120" w:before="120" w:lineRule="auto"/>
              <w:ind w:left="644" w:hanging="785.732283464566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“Strategic Supplier”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tabs>
                <w:tab w:val="left" w:leader="none" w:pos="1134"/>
              </w:tabs>
              <w:spacing w:after="120" w:before="120" w:lineRule="auto"/>
              <w:ind w:left="644" w:hanging="785.7322834645669"/>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means those suppliers to the government listed at </w:t>
            </w:r>
            <w:hyperlink r:id="rId7">
              <w:r w:rsidDel="00000000" w:rsidR="00000000" w:rsidRPr="00000000">
                <w:rPr>
                  <w:rFonts w:ascii="Arial" w:cs="Arial" w:eastAsia="Arial" w:hAnsi="Arial"/>
                  <w:sz w:val="24"/>
                  <w:szCs w:val="24"/>
                  <w:rtl w:val="0"/>
                </w:rPr>
                <w:t xml:space="preserve">https://www.gov.uk/government/publications/strategic-suppliers</w:t>
              </w:r>
            </w:hyperlink>
            <w:r w:rsidDel="00000000" w:rsidR="00000000" w:rsidRPr="00000000">
              <w:rPr>
                <w:rFonts w:ascii="Arial" w:cs="Arial" w:eastAsia="Arial" w:hAnsi="Arial"/>
                <w:sz w:val="24"/>
                <w:szCs w:val="24"/>
                <w:rtl w:val="0"/>
              </w:rPr>
              <w:t xml:space="preserve">.</w:t>
            </w:r>
          </w:p>
        </w:tc>
      </w:tr>
    </w:tbl>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comply with the provisions of this Schedule in relation to the assessment of the financial standing of the FDE Group and the consequences of a change to that financial standing.</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terms of this Schedule shall survive: </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Call-Off Contract until the termination or expiry of the Call-Off Contract.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100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Warranties and duty to notify</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warrants and represents to the Relevant Authority for the benefit of the Relevant Authority that as at the Effective Date:</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long term credit ratings issued for each entity in the FDE Group by each of the Rating Agencies are as set out in Annex 2 to this Schedule; and</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financial position or, as appropriate, the financial performance of each of the Supplier, Guarantor and Key Sub-contractors satisfies the Financial Target Thresholds.</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monitor the credit ratings of each entity in the FDE Group with the Rating Agencies;</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report submitted by the Supplier pursuant to paragraph 2.3.2 shall:</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 single report with separate sections for each of the FDE Group entities;</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contain a sufficient level of information to enable the Relevant Authority to verify the calculations that have been made in respect of the Financial Indicators;</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key financial and other supporting information (including any accounts data that has been relied on) as separate annexes;</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a history of the Financial Indicators reported by the Supplier in graph form to enable the Relevant Authority to easily analyse and assess the trends in financial performance.</w:t>
      </w:r>
    </w:p>
    <w:p w:rsidR="00000000" w:rsidDel="00000000" w:rsidP="00000000" w:rsidRDefault="00000000" w:rsidRPr="00000000" w14:paraId="0000003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Distress events</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shall be Financial Distress Events:</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credit rating of an FDE Group entity dropping below the applicable Credit Rating Threshold;</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FDE Group entity issuing a profits warning to a stock exchange or making any other public announcement, in each case about a material deterioration in its financial position or prospects;</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being a public investigation into improper financial accounting and reporting, suspected fraud or any other impropriety of an FDE Group entity;</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FDE Group entity committing a material breach of covenant to its lenders;</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Key Sub-contractor notifying CCS or the Buyer that the Supplier has not satisfied any material sums properly due under a specified invoice and not subject to a genuine dispute;</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 the following:</w:t>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340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commencement of any litigation against an FDE Group entity with respect to financial indebtedness greater than £5m or obligations under a service contract with a total contract value greater than £5m; </w:t>
      </w:r>
    </w:p>
    <w:p w:rsidR="00000000" w:rsidDel="00000000" w:rsidP="00000000" w:rsidRDefault="00000000" w:rsidRPr="00000000" w14:paraId="0000004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340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non-payment by an FDE Group entity of any financial indebtedness;</w:t>
      </w:r>
    </w:p>
    <w:p w:rsidR="00000000" w:rsidDel="00000000" w:rsidP="00000000" w:rsidRDefault="00000000" w:rsidRPr="00000000" w14:paraId="0000004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340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financial indebtedness of an FDE Group entity becoming due as a result of an event of default;</w:t>
      </w:r>
    </w:p>
    <w:p w:rsidR="00000000" w:rsidDel="00000000" w:rsidP="00000000" w:rsidRDefault="00000000" w:rsidRPr="00000000" w14:paraId="0000004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340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cancellation or suspension of any financial indebtedness in respect of an FDE Group entity; or</w:t>
      </w:r>
    </w:p>
    <w:p w:rsidR="00000000" w:rsidDel="00000000" w:rsidP="00000000" w:rsidRDefault="00000000" w:rsidRPr="00000000" w14:paraId="0000004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340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external auditor of an FDE Group entity expressing a qualified opinion on, or including an emphasis of matter in, its opinion on the statutory accounts of that FDE entity;</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6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each case which the Relevant Authority reasonably believes (or would be likely reasonably to believe) could directly impact on the continued performance and delivery of the Deliverables in accordance with the Contract; and</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Calibri" w:cs="Calibri" w:eastAsia="Calibri" w:hAnsi="Calibri"/>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[one] of the Financial Indicators set out at Paragraph 5 for any of the FDE Group entities failing to meet the required Financial Target Threshold.</w:t>
      </w:r>
      <w:r w:rsidDel="00000000" w:rsidR="00000000" w:rsidRPr="00000000">
        <w:rPr>
          <w:rtl w:val="0"/>
        </w:rPr>
      </w:r>
    </w:p>
    <w:p w:rsidR="00000000" w:rsidDel="00000000" w:rsidP="00000000" w:rsidRDefault="00000000" w:rsidRPr="00000000" w14:paraId="0000004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Consequences of Financial Distress Events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a late or non-payment of a Key Sub-contractor pursuant to Paragraph 3.1.5, the Relevant Authority shall not exercise any of its rights or remedies under Paragraph 4.3 without first giving the Supplier 10 Working Days to:</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rectify such late or non-payment; or</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to the Relevant Authority’s reasonable satisfaction that there is a valid reason for late or non-payment.</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any Monitored Supplier, the Guarantor and/or any relevant Key Sub-contractor shall):</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Relevant Authority reasonably believes (taking into account the discussions and any representations made under Paragraph 4.3.1) that the Financial Distress Event could impact on the continued performance and delivery of the Deliverables in accordance with the Contract:</w:t>
      </w:r>
    </w:p>
    <w:p w:rsidR="00000000" w:rsidDel="00000000" w:rsidP="00000000" w:rsidRDefault="00000000" w:rsidRPr="00000000" w14:paraId="0000004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340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rsidR="00000000" w:rsidDel="00000000" w:rsidP="00000000" w:rsidRDefault="00000000" w:rsidRPr="00000000" w14:paraId="0000004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340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approval of the Financial Distress Remediation Plan by the Relevant Authority, the Supplier shall:</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 regular basis (which shall not be less than fortnightly):</w:t>
      </w:r>
    </w:p>
    <w:p w:rsidR="00000000" w:rsidDel="00000000" w:rsidP="00000000" w:rsidRDefault="00000000" w:rsidRPr="00000000" w14:paraId="000000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340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340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Financial Distress Remediation Plan (including any updated Financial Distress Remediation Plan) and ensure that it achieves the financial and performance requirements set out in the Financial Distress Remediation Plan.</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obtaining in advance written authority from Key Sub-contractors, the Guarantor and/or Monitored Suppliers authorising the disclosure of the information to the Buyer and/or entering into confidentiality agreements which permit disclosure;</w:t>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agreeing in advance with the Relevant Authority, Key Sub-contractors, the Guarantor and/or Monitored Suppliers a form of confidentiality agreement to be entered by the relevant parties to enable the disclosure of the information to the Relevant Authority;</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disclosing the information to the fullest extent that it is lawfully entitled to do so, including through the use of redaction, anonymisation and any other techniques to permit disclosure of the information without breaching a duty of confidentiality.</w:t>
      </w:r>
    </w:p>
    <w:p w:rsidR="00000000" w:rsidDel="00000000" w:rsidP="00000000" w:rsidRDefault="00000000" w:rsidRPr="00000000" w14:paraId="0000005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Indicators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Category Guidance:</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The Financial Indicators for your agreement will be agreed with CCS Commercial Finance as part of your agreement design process, this may include additional Financial Indicators to those currently shown below.  Remember to drop in the correct figures into the table below from your finalised CCS Tiering Tool, which will be from the ‘high risk’ column unless otherwise directed by Commercial Finance colleagues – please delete this text once complete.]</w:t>
      </w:r>
    </w:p>
    <w:p w:rsidR="00000000" w:rsidDel="00000000" w:rsidP="00000000" w:rsidRDefault="00000000" w:rsidRPr="00000000" w14:paraId="0000006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jc w:val="left"/>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Buyer Guidance</w:t>
      </w:r>
      <w:r w:rsidDel="00000000" w:rsidR="00000000" w:rsidRPr="00000000">
        <w:rPr>
          <w:rFonts w:ascii="Arial" w:cs="Arial" w:eastAsia="Arial" w:hAnsi="Arial"/>
          <w:sz w:val="24"/>
          <w:szCs w:val="24"/>
          <w:highlight w:val="yellow"/>
          <w:rtl w:val="0"/>
        </w:rPr>
        <w:t xml:space="preserve">: The Financial Indicators set out in the table at paragraph 5.1 are  established at Framework level to satisfy Cabinet Office Contract Tiering Tool requirements. For the purposes of your call off activity you may check that the original assessment of the indicators remains valid, but you may not re-run those assessments. You may also opt to ask the Supplier to monitor themselves according to some, rather than all, of the indicators in accordance with your internal procedures but you should not introduce new indicators or amend those set out below. Please take your own legal advice if you are uncertain how to proceed.  ]</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tbl>
      <w:tblPr>
        <w:tblStyle w:val="Table2"/>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980"/>
        <w:gridCol w:w="1710"/>
        <w:gridCol w:w="3075"/>
        <w:tblGridChange w:id="0">
          <w:tblGrid>
            <w:gridCol w:w="2250"/>
            <w:gridCol w:w="1980"/>
            <w:gridCol w:w="1710"/>
            <w:gridCol w:w="3075"/>
          </w:tblGrid>
        </w:tblGridChange>
      </w:tblGrid>
      <w:tr>
        <w:trPr>
          <w:cantSplit w:val="0"/>
          <w:tblHeader w:val="0"/>
        </w:trPr>
        <w:tc>
          <w:tcPr>
            <w:shd w:fill="d9d9d9" w:val="cle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Financial Indicator</w:t>
            </w:r>
          </w:p>
        </w:tc>
        <w:tc>
          <w:tcPr>
            <w:shd w:fill="d9d9d9" w:val="clea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Calculation</w:t>
            </w:r>
            <w:r w:rsidDel="00000000" w:rsidR="00000000" w:rsidRPr="00000000">
              <w:rPr>
                <w:rFonts w:ascii="Arial" w:cs="Arial" w:eastAsia="Arial" w:hAnsi="Arial"/>
                <w:b w:val="1"/>
                <w:i w:val="0"/>
                <w:smallCaps w:val="0"/>
                <w:strike w:val="0"/>
                <w:color w:val="000000"/>
                <w:sz w:val="24"/>
                <w:szCs w:val="24"/>
                <w:u w:val="none"/>
                <w:vertAlign w:val="superscript"/>
                <w:rtl w:val="0"/>
              </w:rPr>
              <w:t xml:space="preserve">1</w:t>
            </w:r>
            <w:r w:rsidDel="00000000" w:rsidR="00000000" w:rsidRPr="00000000">
              <w:rPr>
                <w:rtl w:val="0"/>
              </w:rPr>
            </w:r>
          </w:p>
        </w:tc>
        <w:tc>
          <w:tcPr>
            <w:shd w:fill="d9d9d9" w:val="cle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Financial Target Threshold:</w:t>
            </w:r>
          </w:p>
        </w:tc>
        <w:tc>
          <w:tcPr>
            <w:shd w:fill="d9d9d9" w:val="clea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vertAlign w:val="baseline"/>
              </w:rPr>
            </w:pPr>
            <w:bookmarkStart w:colFirst="0" w:colLast="0" w:name="_heading=h.1ci93xb" w:id="1"/>
            <w:bookmarkEnd w:id="1"/>
            <w:r w:rsidDel="00000000" w:rsidR="00000000" w:rsidRPr="00000000">
              <w:rPr>
                <w:rFonts w:ascii="Arial" w:cs="Arial" w:eastAsia="Arial" w:hAnsi="Arial"/>
                <w:b w:val="1"/>
                <w:i w:val="0"/>
                <w:smallCaps w:val="0"/>
                <w:strike w:val="0"/>
                <w:color w:val="000000"/>
                <w:sz w:val="24"/>
                <w:szCs w:val="24"/>
                <w:u w:val="none"/>
                <w:vertAlign w:val="baseline"/>
                <w:rtl w:val="0"/>
              </w:rPr>
              <w:t xml:space="preserve">Monitoring and Reporting Frequency [if different from the default position set out in Paragraph 2.3.2)]</w:t>
            </w:r>
          </w:p>
        </w:tc>
      </w:tr>
      <w:tr>
        <w:trPr>
          <w:cantSplit w:val="0"/>
          <w:tblHeader w:val="0"/>
        </w:trPr>
        <w:tc>
          <w:tcP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1</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Operating Margin</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Operating Margin = Operating Profit / Revenue</w:t>
            </w:r>
          </w:p>
        </w:tc>
        <w:tc>
          <w:tcP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&gt; </w:t>
            </w:r>
            <w:r w:rsidDel="00000000" w:rsidR="00000000" w:rsidRPr="00000000">
              <w:rPr>
                <w:rFonts w:ascii="Arial" w:cs="Arial" w:eastAsia="Arial" w:hAnsi="Arial"/>
                <w:i w:val="1"/>
                <w:sz w:val="24"/>
                <w:szCs w:val="24"/>
                <w:highlight w:val="white"/>
                <w:rtl w:val="0"/>
              </w:rPr>
              <w:t xml:space="preserve">4</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w:t>
            </w:r>
          </w:p>
        </w:tc>
        <w:tc>
          <w:tcP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Tested and reported </w:t>
            </w:r>
            <w:r w:rsidDel="00000000" w:rsidR="00000000" w:rsidRPr="00000000">
              <w:rPr>
                <w:rFonts w:ascii="Arial" w:cs="Arial" w:eastAsia="Arial" w:hAnsi="Arial"/>
                <w:i w:val="1"/>
                <w:sz w:val="24"/>
                <w:szCs w:val="24"/>
                <w:highlight w:val="white"/>
                <w:rtl w:val="0"/>
              </w:rPr>
              <w:t xml:space="preserve">[</w:t>
            </w:r>
            <w:r w:rsidDel="00000000" w:rsidR="00000000" w:rsidRPr="00000000">
              <w:rPr>
                <w:rFonts w:ascii="Arial" w:cs="Arial" w:eastAsia="Arial" w:hAnsi="Arial"/>
                <w:i w:val="1"/>
                <w:sz w:val="24"/>
                <w:szCs w:val="24"/>
                <w:highlight w:val="yellow"/>
                <w:rtl w:val="0"/>
              </w:rPr>
              <w:t xml:space="preserve">yearly / half yearly]</w:t>
            </w:r>
            <w:r w:rsidDel="00000000" w:rsidR="00000000" w:rsidRPr="00000000">
              <w:rPr>
                <w:rFonts w:ascii="Arial" w:cs="Arial" w:eastAsia="Arial" w:hAnsi="Arial"/>
                <w:i w:val="1"/>
                <w:sz w:val="24"/>
                <w:szCs w:val="24"/>
                <w:highlight w:val="white"/>
                <w:rtl w:val="0"/>
              </w:rPr>
              <w:t xml:space="preserve"> in arrears within [</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120 / 90</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days of each [</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accounting reference date yearly / half year end</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based upon figures for the 12 months ending on the relevant [</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accounting reference date / half year end</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w:t>
            </w:r>
          </w:p>
        </w:tc>
      </w:tr>
      <w:tr>
        <w:trPr>
          <w:cantSplit w:val="0"/>
          <w:trHeight w:val="3596.71875" w:hRule="atLeast"/>
          <w:tblHeader w:val="0"/>
        </w:trPr>
        <w:tc>
          <w:tcPr>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7030a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2</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Net Debt to EBITDA Ratio</w:t>
            </w:r>
          </w:p>
        </w:tc>
        <w:tc>
          <w:tcP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Net Debt to EBITDA ratio = Net Debt / EBITDA</w:t>
            </w:r>
          </w:p>
        </w:tc>
        <w:tc>
          <w:tcPr>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i w:val="1"/>
                <w:color w:val="7030a0"/>
                <w:sz w:val="24"/>
                <w:szCs w:val="24"/>
                <w:highlight w:val="white"/>
                <w:rtl w:val="0"/>
              </w:rPr>
              <w:t xml:space="preserve"> </w:t>
            </w:r>
            <w:r w:rsidDel="00000000" w:rsidR="00000000" w:rsidRPr="00000000">
              <w:rPr>
                <w:rFonts w:ascii="Arial" w:cs="Arial" w:eastAsia="Arial" w:hAnsi="Arial"/>
                <w:i w:val="1"/>
                <w:sz w:val="24"/>
                <w:szCs w:val="24"/>
                <w:highlight w:val="white"/>
                <w:rtl w:val="0"/>
              </w:rPr>
              <w:t xml:space="preserve">&lt;2.5</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times</w:t>
            </w:r>
          </w:p>
        </w:tc>
        <w:tc>
          <w:tcP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sz w:val="24"/>
                <w:szCs w:val="24"/>
                <w:highlight w:val="white"/>
                <w:u w:val="none"/>
                <w:vertAlign w:val="baseline"/>
              </w:rPr>
            </w:pP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Tested and reported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[yearly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yearly</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in arrears within </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120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90</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days of each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accounting reference date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 end</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based upon </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Free Cash Flow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EBITDA]</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for the 12 months ending on, and Net Debt at, the relevant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accounting reference date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 end</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3</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Net Debt + Net Pension Deficit to EBITDA ratio</w:t>
            </w:r>
          </w:p>
        </w:tc>
        <w:tc>
          <w:tcP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Net Debt + Net Pension Deficit to EBITDA Ratio = (Net Debt + Net Pension Deficit) / EBITDA</w:t>
            </w:r>
          </w:p>
        </w:tc>
        <w:tc>
          <w:tcP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&lt; </w:t>
            </w:r>
            <w:r w:rsidDel="00000000" w:rsidR="00000000" w:rsidRPr="00000000">
              <w:rPr>
                <w:rFonts w:ascii="Arial" w:cs="Arial" w:eastAsia="Arial" w:hAnsi="Arial"/>
                <w:i w:val="1"/>
                <w:sz w:val="24"/>
                <w:szCs w:val="24"/>
                <w:highlight w:val="white"/>
                <w:rtl w:val="0"/>
              </w:rPr>
              <w:t xml:space="preserve">4</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times</w:t>
            </w:r>
          </w:p>
        </w:tc>
        <w:tc>
          <w:tcP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Tested and reported [</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yearly / half yearly</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in arrears within [</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120 /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90</w:t>
            </w:r>
            <w:r w:rsidDel="00000000" w:rsidR="00000000" w:rsidRPr="00000000">
              <w:rPr>
                <w:rFonts w:ascii="Arial" w:cs="Arial" w:eastAsia="Arial" w:hAnsi="Arial"/>
                <w:i w:val="1"/>
                <w:sz w:val="24"/>
                <w:szCs w:val="24"/>
                <w:highlight w:val="yellow"/>
                <w:rtl w:val="0"/>
              </w:rPr>
              <w:t xml:space="preserve">}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days of each accounting reference date based upon [</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Free Cash F</w:t>
            </w:r>
            <w:r w:rsidDel="00000000" w:rsidR="00000000" w:rsidRPr="00000000">
              <w:rPr>
                <w:rFonts w:ascii="Arial" w:cs="Arial" w:eastAsia="Arial" w:hAnsi="Arial"/>
                <w:i w:val="1"/>
                <w:sz w:val="24"/>
                <w:szCs w:val="24"/>
                <w:highlight w:val="yellow"/>
                <w:rtl w:val="0"/>
              </w:rPr>
              <w:t xml:space="preserve">low /</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 EBITDA</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for the 12 months ending on, and the Net Debt and Net Pension Deficit at, the relevant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a</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ccounting reference date / half year end</w:t>
            </w:r>
            <w:r w:rsidDel="00000000" w:rsidR="00000000" w:rsidRPr="00000000">
              <w:rPr>
                <w:rFonts w:ascii="Arial" w:cs="Arial" w:eastAsia="Arial" w:hAnsi="Arial"/>
                <w:i w:val="1"/>
                <w:sz w:val="24"/>
                <w:szCs w:val="24"/>
                <w:highlight w:val="white"/>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4</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Net Interest Paid Cover</w:t>
            </w:r>
          </w:p>
        </w:tc>
        <w:tc>
          <w:tcP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Net Interest Paid Cover = Earnings Before Interest and Tax / Net Interest Paid</w:t>
            </w:r>
          </w:p>
        </w:tc>
        <w:tc>
          <w:tcP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&gt;</w:t>
            </w:r>
            <w:r w:rsidDel="00000000" w:rsidR="00000000" w:rsidRPr="00000000">
              <w:rPr>
                <w:rFonts w:ascii="Arial" w:cs="Arial" w:eastAsia="Arial" w:hAnsi="Arial"/>
                <w:i w:val="1"/>
                <w:sz w:val="24"/>
                <w:szCs w:val="24"/>
                <w:highlight w:val="white"/>
                <w:rtl w:val="0"/>
              </w:rPr>
              <w:t xml:space="preserve"> 4.5</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times</w:t>
            </w:r>
          </w:p>
        </w:tc>
        <w:tc>
          <w:tcP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sz w:val="24"/>
                <w:szCs w:val="24"/>
                <w:highlight w:val="white"/>
                <w:u w:val="none"/>
                <w:vertAlign w:val="baseline"/>
              </w:rPr>
            </w:pP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Tested and reported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[yearly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yearly</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in arrears within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120 /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90</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days of each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accounting reference date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 end</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based upon figures for the 12 months ending on the relevant [a</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ccounting reference date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 end</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w:t>
            </w:r>
          </w:p>
        </w:tc>
      </w:tr>
      <w:tr>
        <w:trPr>
          <w:cantSplit w:val="0"/>
          <w:tblHeader w:val="0"/>
        </w:trPr>
        <w:tc>
          <w:tcP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5</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Acid Ratio</w:t>
            </w:r>
          </w:p>
        </w:tc>
        <w:tc>
          <w:tcP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[Acid Ratio = (Current Assets – Inventories) / Current Liabilities]</w:t>
            </w:r>
          </w:p>
        </w:tc>
        <w:tc>
          <w:tcP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&gt; </w:t>
            </w:r>
            <w:r w:rsidDel="00000000" w:rsidR="00000000" w:rsidRPr="00000000">
              <w:rPr>
                <w:rFonts w:ascii="Arial" w:cs="Arial" w:eastAsia="Arial" w:hAnsi="Arial"/>
                <w:i w:val="1"/>
                <w:sz w:val="24"/>
                <w:szCs w:val="24"/>
                <w:highlight w:val="white"/>
                <w:rtl w:val="0"/>
              </w:rPr>
              <w:t xml:space="preserve">1</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times</w:t>
            </w:r>
          </w:p>
        </w:tc>
        <w:tc>
          <w:tcP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sz w:val="24"/>
                <w:szCs w:val="24"/>
                <w:highlight w:val="white"/>
                <w:u w:val="none"/>
                <w:vertAlign w:val="baseline"/>
              </w:rPr>
            </w:pP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Tested and reported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yearly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yearly</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in arrears within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120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90</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days of each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accounting reference date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 end</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based upon figures at the relevant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accounting reference date</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 half year end</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w:t>
            </w:r>
          </w:p>
        </w:tc>
      </w:tr>
      <w:tr>
        <w:trPr>
          <w:cantSplit w:val="0"/>
          <w:tblHeader w:val="0"/>
        </w:trPr>
        <w:tc>
          <w:tcPr>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6</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sz w:val="24"/>
                <w:szCs w:val="24"/>
                <w:highlight w:val="white"/>
                <w:rtl w:val="0"/>
              </w:rPr>
              <w:t xml:space="preserve">N</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et Asset </w:t>
            </w:r>
            <w:r w:rsidDel="00000000" w:rsidR="00000000" w:rsidRPr="00000000">
              <w:rPr>
                <w:rFonts w:ascii="Arial" w:cs="Arial" w:eastAsia="Arial" w:hAnsi="Arial"/>
                <w:b w:val="1"/>
                <w:sz w:val="24"/>
                <w:szCs w:val="24"/>
                <w:highlight w:val="white"/>
                <w:rtl w:val="0"/>
              </w:rPr>
              <w:t xml:space="preserve">Value</w:t>
            </w:r>
            <w:r w:rsidDel="00000000" w:rsidR="00000000" w:rsidRPr="00000000">
              <w:rPr>
                <w:rtl w:val="0"/>
              </w:rPr>
            </w:r>
          </w:p>
        </w:tc>
        <w:tc>
          <w:tcP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[Net Asset Value = Net Assets]</w:t>
            </w:r>
          </w:p>
        </w:tc>
        <w:tc>
          <w:tcP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&gt; £0</w:t>
            </w:r>
          </w:p>
        </w:tc>
        <w:tc>
          <w:tcP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sz w:val="24"/>
                <w:szCs w:val="24"/>
                <w:highlight w:val="white"/>
                <w:u w:val="none"/>
                <w:vertAlign w:val="baseline"/>
              </w:rPr>
            </w:pP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Tested and reported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yearly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yearly</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in arrears within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120 /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90</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days of each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accounting reference date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 end</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based upon figures at the relevant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accounting reference date </w:t>
            </w:r>
            <w:r w:rsidDel="00000000" w:rsidR="00000000" w:rsidRPr="00000000">
              <w:rPr>
                <w:rFonts w:ascii="Arial" w:cs="Arial" w:eastAsia="Arial" w:hAnsi="Arial"/>
                <w:b w:val="0"/>
                <w:i w:val="1"/>
                <w:smallCaps w:val="0"/>
                <w:strike w:val="0"/>
                <w:sz w:val="24"/>
                <w:szCs w:val="24"/>
                <w:highlight w:val="yellow"/>
                <w:u w:val="none"/>
                <w:vertAlign w:val="baseline"/>
                <w:rtl w:val="0"/>
              </w:rPr>
              <w:t xml:space="preserve">/ half year end</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w:t>
            </w:r>
          </w:p>
        </w:tc>
      </w:tr>
      <w:tr>
        <w:trPr>
          <w:cantSplit w:val="0"/>
          <w:tblHeader w:val="0"/>
        </w:trPr>
        <w:tc>
          <w:tcPr>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7</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Group Exposure Ratio</w:t>
            </w:r>
          </w:p>
        </w:tc>
        <w:tc>
          <w:tcP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[Group Exposure / Gross Assets]</w:t>
            </w:r>
          </w:p>
        </w:tc>
        <w:tc>
          <w:tcP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&lt; </w:t>
            </w:r>
            <w:r w:rsidDel="00000000" w:rsidR="00000000" w:rsidRPr="00000000">
              <w:rPr>
                <w:rFonts w:ascii="Arial" w:cs="Arial" w:eastAsia="Arial" w:hAnsi="Arial"/>
                <w:i w:val="1"/>
                <w:sz w:val="24"/>
                <w:szCs w:val="24"/>
                <w:highlight w:val="white"/>
                <w:rtl w:val="0"/>
              </w:rPr>
              <w:t xml:space="preserve">25</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w:t>
            </w:r>
          </w:p>
        </w:tc>
        <w:tc>
          <w:tcP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sz w:val="24"/>
                <w:szCs w:val="24"/>
                <w:highlight w:val="white"/>
                <w:u w:val="none"/>
                <w:vertAlign w:val="baseline"/>
              </w:rPr>
            </w:pP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Tested and reported yearly in arrears within 90 days of each accounting reference date based upon figures at the relevant accounting reference date</w:t>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Key: 1 – see Annex 3 to this Schedule which sets out the calculation methodology to be used in the calculation of each financial indicator.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Monitored Suppliers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76.53543307086622"/>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Guidance</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Insert details of any other entities which the Supplier is required to monitor against the Financial Indicators. These are in addition to the Supplier’s monitoring of itself, the Guarantor and the Key Sub-contractors. Not all the Financial Indicators may be applicable to a Monitored Supplier, so indicate which of those are to apply in the table below]</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firstLine="0"/>
        <w:jc w:val="left"/>
        <w:rPr>
          <w:rFonts w:ascii="Arial" w:cs="Arial" w:eastAsia="Arial" w:hAnsi="Arial"/>
          <w:sz w:val="24"/>
          <w:szCs w:val="24"/>
          <w:highlight w:val="yellow"/>
        </w:rPr>
      </w:pPr>
      <w:r w:rsidDel="00000000" w:rsidR="00000000" w:rsidRPr="00000000">
        <w:rPr>
          <w:rtl w:val="0"/>
        </w:rPr>
      </w:r>
    </w:p>
    <w:tbl>
      <w:tblPr>
        <w:tblStyle w:val="Table3"/>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3"/>
        <w:gridCol w:w="4223"/>
        <w:tblGridChange w:id="0">
          <w:tblGrid>
            <w:gridCol w:w="4073"/>
            <w:gridCol w:w="4223"/>
          </w:tblGrid>
        </w:tblGridChange>
      </w:tblGrid>
      <w:tr>
        <w:trPr>
          <w:cantSplit w:val="0"/>
          <w:tblHeader w:val="0"/>
        </w:trPr>
        <w:tc>
          <w:tcPr>
            <w:shd w:fill="d9d9d9"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Monitored Supplier</w:t>
            </w:r>
          </w:p>
        </w:tc>
        <w:tc>
          <w:tcPr>
            <w:shd w:fill="d9d9d9"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Applicable Financial Indicators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whwml4"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are the Financial Indicators from the table in Paragraph 5.1 which are to apply to the Monitored Suppliers)</w:t>
            </w:r>
          </w:p>
        </w:tc>
      </w:tr>
      <w:tr>
        <w:trPr>
          <w:cantSplit w:val="0"/>
          <w:tblHeader w:val="0"/>
        </w:trPr>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[Entity 1 e.g Group Member, Sub-contractor, Relevant Parent Company etc.] </w:t>
            </w:r>
            <w:r w:rsidDel="00000000" w:rsidR="00000000" w:rsidRPr="00000000">
              <w:rPr>
                <w:rtl w:val="0"/>
              </w:rPr>
            </w:r>
          </w:p>
        </w:tc>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[1 – Operating Margin]</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[2 – etc..]</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[3][4][5][6][7][8][etc..]</w:t>
            </w:r>
            <w:r w:rsidDel="00000000" w:rsidR="00000000" w:rsidRPr="00000000">
              <w:rPr>
                <w:rtl w:val="0"/>
              </w:rPr>
            </w:r>
          </w:p>
        </w:tc>
      </w:tr>
      <w:tr>
        <w:trPr>
          <w:cantSplit w:val="0"/>
          <w:tblHeader w:val="0"/>
        </w:trPr>
        <w:tc>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[Entity 2 e.g Group Member, Sub-contractor, Relevant Parent Company etc.]</w:t>
            </w:r>
          </w:p>
        </w:tc>
        <w:tc>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[1 – Operating Margin]</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[2 – etc.]</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[3][4][5][6][7][8][etc..]</w:t>
            </w:r>
          </w:p>
        </w:tc>
      </w:tr>
      <w:tr>
        <w:trPr>
          <w:cantSplit w:val="0"/>
          <w:tblHeader w:val="0"/>
        </w:trPr>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[etc.]</w:t>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[etc.]</w:t>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100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rights</w:t>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 shall be entitled to terminate the Contract if:</w:t>
      </w:r>
    </w:p>
    <w:p w:rsidR="00000000" w:rsidDel="00000000" w:rsidP="00000000" w:rsidRDefault="00000000" w:rsidRPr="00000000" w14:paraId="0000009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notify the Relevant Authority of a Financial Distress Event in accordance with Paragraph 2.3.3;</w:t>
      </w:r>
    </w:p>
    <w:p w:rsidR="00000000" w:rsidDel="00000000" w:rsidP="00000000" w:rsidRDefault="00000000" w:rsidRPr="00000000" w14:paraId="000000A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fail to agree a Financial Distress Remediation Plan (or any updated Financial Distress Remediation Plan) in accordance with Paragraphs 4.3 to 4.5; and/or</w:t>
      </w:r>
    </w:p>
    <w:p w:rsidR="00000000" w:rsidDel="00000000" w:rsidP="00000000" w:rsidRDefault="00000000" w:rsidRPr="00000000" w14:paraId="000000A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comply with the terms of the Financial Distress Remediation Plan (or any updated Financial Distress Remediation Plan) in accordance with Paragraph 4.6.3,</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shall be deemed to be an event to which Clause 10.4.1 of the Core Terms applies and Clauses 10.6.1 and 10.6.2 of the Core Terms shall apply accordingly.</w:t>
      </w:r>
    </w:p>
    <w:p w:rsidR="00000000" w:rsidDel="00000000" w:rsidP="00000000" w:rsidRDefault="00000000" w:rsidRPr="00000000" w14:paraId="000000A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Primacy of Credit Ratings</w:t>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rsidR="00000000" w:rsidDel="00000000" w:rsidP="00000000" w:rsidRDefault="00000000" w:rsidRPr="00000000" w14:paraId="000000A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relieved automatically of its obligations under Paragraphs 4.3 to 4.6; and</w:t>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 shall not be entitled to require the Supplier to provide financial information in accordance with Paragraph 4.3.2(b).</w:t>
      </w:r>
    </w:p>
    <w:p w:rsidR="00000000" w:rsidDel="00000000" w:rsidP="00000000" w:rsidRDefault="00000000" w:rsidRPr="00000000" w14:paraId="000000A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Board confirmation</w:t>
      </w:r>
    </w:p>
    <w:p w:rsidR="00000000" w:rsidDel="00000000" w:rsidP="00000000" w:rsidRDefault="00000000" w:rsidRPr="00000000" w14:paraId="000000A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If the Contract has been specified as a Critical Service Contract under Paragraph 1.1 of Call-Off Schedule 24 (Corporate Resolution Planning)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rsidR="00000000" w:rsidDel="00000000" w:rsidP="00000000" w:rsidRDefault="00000000" w:rsidRPr="00000000" w14:paraId="000000A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a Financial Distress Event has occurred since the later of the Effective Date or the previous Board Confirmation or is subsisting; or</w:t>
      </w:r>
    </w:p>
    <w:p w:rsidR="00000000" w:rsidDel="00000000" w:rsidP="00000000" w:rsidRDefault="00000000" w:rsidRPr="00000000" w14:paraId="000000A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any matters which have occurred or are subsisting that could reasonably be expected to cause a Financial Distress Event.</w:t>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in its preparation of the Board Confirmation it exercises due care and diligence and has made reasonable enquiry of all relevant Supplier Staff and other persons as is reasonably necessary to understand and confirm the position.</w:t>
      </w:r>
    </w:p>
    <w:p w:rsidR="00000000" w:rsidDel="00000000" w:rsidP="00000000" w:rsidRDefault="00000000" w:rsidRPr="00000000" w14:paraId="000000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the first Board Confirmation to be provided under this Contract, the Supplier shall provide the Board Confirmation within 15 months of the Effective Date if earlier than the timescale for submission set out in Paragraph 8.1 of this Schedule.</w:t>
      </w:r>
    </w:p>
    <w:p w:rsidR="00000000" w:rsidDel="00000000" w:rsidP="00000000" w:rsidRDefault="00000000" w:rsidRPr="00000000" w14:paraId="000000A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spacing w:after="200" w:line="276" w:lineRule="auto"/>
        <w:jc w:val="left"/>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Annex 1: Rating Agencies and their standard Rating System</w:t>
      </w:r>
    </w:p>
    <w:p w:rsidR="00000000" w:rsidDel="00000000" w:rsidP="00000000" w:rsidRDefault="00000000" w:rsidRPr="00000000" w14:paraId="000000B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[Rating Agency 1]</w:t>
      </w:r>
    </w:p>
    <w:p w:rsidR="00000000" w:rsidDel="00000000" w:rsidP="00000000" w:rsidRDefault="00000000" w:rsidRPr="00000000" w14:paraId="000000B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[Rating Agency 2]</w:t>
      </w:r>
    </w:p>
    <w:p w:rsidR="00000000" w:rsidDel="00000000" w:rsidP="00000000" w:rsidRDefault="00000000" w:rsidRPr="00000000" w14:paraId="000000B2">
      <w:pPr>
        <w:spacing w:after="200" w:line="276" w:lineRule="auto"/>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2bn6wsx"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2</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 Ratings and Credit Rating Thresholds</w:t>
      </w:r>
      <w:r w:rsidDel="00000000" w:rsidR="00000000" w:rsidRPr="00000000">
        <w:rPr>
          <w:rtl w:val="0"/>
        </w:rPr>
      </w:r>
    </w:p>
    <w:tbl>
      <w:tblPr>
        <w:tblStyle w:val="Table4"/>
        <w:tblW w:w="6161.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080"/>
        <w:gridCol w:w="3081"/>
        <w:tblGridChange w:id="0">
          <w:tblGrid>
            <w:gridCol w:w="3080"/>
            <w:gridCol w:w="3081"/>
          </w:tblGrid>
        </w:tblGridChange>
      </w:tblGrid>
      <w:tr>
        <w:trPr>
          <w:cantSplit w:val="0"/>
          <w:tblHeader w:val="0"/>
        </w:trPr>
        <w:tc>
          <w:tcPr>
            <w:tcBorders>
              <w:top w:color="000000" w:space="0" w:sz="4" w:val="single"/>
            </w:tcBorders>
            <w:shd w:fill="ffffff" w:val="clear"/>
          </w:tcPr>
          <w:p w:rsidR="00000000" w:rsidDel="00000000" w:rsidP="00000000" w:rsidRDefault="00000000" w:rsidRPr="00000000" w14:paraId="000000B4">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Entity</w:t>
            </w:r>
          </w:p>
        </w:tc>
        <w:tc>
          <w:tcPr>
            <w:tcBorders>
              <w:top w:color="000000" w:space="0" w:sz="4" w:val="single"/>
            </w:tcBorders>
            <w:shd w:fill="ffffff" w:val="clear"/>
          </w:tcPr>
          <w:p w:rsidR="00000000" w:rsidDel="00000000" w:rsidP="00000000" w:rsidRDefault="00000000" w:rsidRPr="00000000" w14:paraId="000000B5">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 rating (long term)</w:t>
            </w:r>
          </w:p>
        </w:tc>
      </w:tr>
      <w:tr>
        <w:trPr>
          <w:cantSplit w:val="0"/>
          <w:tblHeader w:val="0"/>
        </w:trPr>
        <w:tc>
          <w:tcPr>
            <w:shd w:fill="ffffff" w:val="clear"/>
          </w:tcPr>
          <w:p w:rsidR="00000000" w:rsidDel="00000000" w:rsidP="00000000" w:rsidRDefault="00000000" w:rsidRPr="00000000" w14:paraId="000000B6">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w:t>
            </w:r>
          </w:p>
        </w:tc>
        <w:tc>
          <w:tcPr>
            <w:shd w:fill="ffffff" w:val="clear"/>
          </w:tcPr>
          <w:p w:rsidR="00000000" w:rsidDel="00000000" w:rsidP="00000000" w:rsidRDefault="00000000" w:rsidRPr="00000000" w14:paraId="000000B7">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rating]</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B8">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[Guarantor]</w:t>
            </w:r>
            <w:r w:rsidDel="00000000" w:rsidR="00000000" w:rsidRPr="00000000">
              <w:rPr>
                <w:rtl w:val="0"/>
              </w:rPr>
            </w:r>
          </w:p>
        </w:tc>
        <w:tc>
          <w:tcPr>
            <w:shd w:fill="ffffff" w:val="clear"/>
          </w:tcPr>
          <w:p w:rsidR="00000000" w:rsidDel="00000000" w:rsidP="00000000" w:rsidRDefault="00000000" w:rsidRPr="00000000" w14:paraId="000000B9">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shd w:fill="ffffff" w:val="clear"/>
          </w:tcPr>
          <w:p w:rsidR="00000000" w:rsidDel="00000000" w:rsidP="00000000" w:rsidRDefault="00000000" w:rsidRPr="00000000" w14:paraId="000000BA">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[Key Subcontractor]</w:t>
            </w:r>
          </w:p>
        </w:tc>
        <w:tc>
          <w:tcPr>
            <w:tcBorders>
              <w:bottom w:color="000000" w:space="0" w:sz="4" w:val="single"/>
            </w:tcBorders>
            <w:shd w:fill="ffffff" w:val="clear"/>
          </w:tcPr>
          <w:p w:rsidR="00000000" w:rsidDel="00000000" w:rsidP="00000000" w:rsidRDefault="00000000" w:rsidRPr="00000000" w14:paraId="000000BB">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spacing w:after="200" w:line="276" w:lineRule="auto"/>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3: Calculation methodology for Financial Indicators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smallCaps w:val="0"/>
          <w:strike w:val="0"/>
          <w:color w:val="000000"/>
          <w:sz w:val="24"/>
          <w:szCs w:val="24"/>
          <w:u w:val="none"/>
          <w:shd w:fill="auto" w:val="clear"/>
          <w:vertAlign w:val="baseline"/>
        </w:rPr>
      </w:pPr>
      <w:bookmarkStart w:colFirst="0" w:colLast="0" w:name="_heading=h.qsh70q" w:id="4"/>
      <w:bookmarkEnd w:id="4"/>
      <w:r w:rsidDel="00000000" w:rsidR="00000000" w:rsidRPr="00000000">
        <w:rPr>
          <w:rFonts w:ascii="Arial" w:cs="Arial" w:eastAsia="Arial" w:hAnsi="Arial"/>
          <w:b w:val="1"/>
          <w:smallCaps w:val="0"/>
          <w:strike w:val="0"/>
          <w:color w:val="000000"/>
          <w:sz w:val="24"/>
          <w:szCs w:val="24"/>
          <w:highlight w:val="yellow"/>
          <w:u w:val="none"/>
          <w:vertAlign w:val="baseline"/>
          <w:rtl w:val="0"/>
        </w:rPr>
        <w:t xml:space="preserve">[Guidance: </w:t>
      </w:r>
      <w:r w:rsidDel="00000000" w:rsidR="00000000" w:rsidRPr="00000000">
        <w:rPr>
          <w:rFonts w:ascii="Arial" w:cs="Arial" w:eastAsia="Arial" w:hAnsi="Arial"/>
          <w:smallCaps w:val="0"/>
          <w:strike w:val="0"/>
          <w:color w:val="000000"/>
          <w:sz w:val="24"/>
          <w:szCs w:val="24"/>
          <w:highlight w:val="yellow"/>
          <w:u w:val="none"/>
          <w:vertAlign w:val="baseline"/>
          <w:rtl w:val="0"/>
        </w:rPr>
        <w:t xml:space="preserve">Amend this section as appropriate to reflect the calculation methodology for those Financial Indicators that are selected for inclusion in Paragraph 5.1 of this Schedule]</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it uses the following general and specific methodologies for calculating the Financial Indicators against the Financial Target Thresholds: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General methodology</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Terminology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as4poj" w:id="5"/>
      <w:bookmarkEnd w:id="5"/>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Groups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Where the entity is the holding company of a group and prepares consolidated financial statements, the consolidated figures should be used.</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Foreign currency conversion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Figures denominated in foreign currencies should be converted at the exchange rate in force at the relevant date for which the Financial Indicator is being calculated.</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Treatment of non-underlying items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Financial Indicators should be based on the figures in the financial statements before adjusting for non-underlying items.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Specific Methodology</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6478"/>
        <w:tblGridChange w:id="0">
          <w:tblGrid>
            <w:gridCol w:w="2538"/>
            <w:gridCol w:w="6478"/>
          </w:tblGrid>
        </w:tblGridChange>
      </w:tblGrid>
      <w:tr>
        <w:trPr>
          <w:cantSplit w:val="0"/>
          <w:tblHeader w:val="0"/>
        </w:trPr>
        <w:tc>
          <w:tcPr>
            <w:shd w:fill="d9d9d9" w:val="cle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Indicator</w:t>
            </w:r>
          </w:p>
        </w:tc>
        <w:tc>
          <w:tcPr>
            <w:shd w:fill="d9d9d9"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 Methodology</w:t>
            </w:r>
          </w:p>
        </w:tc>
      </w:tr>
      <w:tr>
        <w:trPr>
          <w:cantSplit w:val="0"/>
          <w:tblHeader w:val="0"/>
        </w:trPr>
        <w:tc>
          <w:tcPr>
            <w:vAlign w:val="cente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Operating Margin</w:t>
            </w:r>
          </w:p>
        </w:tc>
        <w:tc>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elements used to calculate the Operating Margin should be shown on the face of the Income Statement in a standard set of financial statements.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Figures for Operating Profit and Revenue should exclude the entity’s share of the results of any joint ventures or Associates.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 entity has an operating loss (i.e. where the operating profit is negative), Operating Profit should be taken to be zero.</w:t>
            </w:r>
          </w:p>
        </w:tc>
      </w:tr>
      <w:tr>
        <w:trPr>
          <w:cantSplit w:val="0"/>
          <w:tblHeader w:val="0"/>
        </w:trPr>
        <w:tc>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Free Cash Flow to Net Debt Ratio</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 Debt to EBITDA Ratio</w:t>
            </w:r>
          </w:p>
        </w:tc>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Free Cash Flow</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Net Cash Flow from Operating Activities – Capital Expenditure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Capital Expenditure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Purchase of property, plant &amp; equipment + purchase of intangible assets</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Net Debt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Bank overdrafts + Loans and borrowings + Finance Leases + Deferred consideration payable – Cash and cash equivalents</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majority of the elements used to calculate the Free Cash Flow to Net Debt Ratio should be shown on the face of the Statement of Cash Flows and the Balance Sheet in a standard set of financial statements.</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Net Cash Flow from Operating Activities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should be stated after deduction of interest and tax paid.</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Capital expenditure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Net Debt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elements of Net Debt may also be described slightly differently and should be found either on the face of the Balance Sheet or in the relevant note to the financial statements. All interest bearing liabilities (other than retirement benefit obligations) should be treated as borrowings as should, where disclosed, any liabilities (less any assets) in respect  of any hedges designated as linked to borrowings (but not non-designated hedges). Borrowings should also include balances owed to other group members.</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Deferred consideration payable should be included in Net Debt despite typically being non-interest bearing.</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Cash and cash equivalents should include short-term financial investments shown in current assets.</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Net debt is negative (i.e. an entity has net cash), the relevant Financial Target Threshold should be treated as having been met.</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Net Debt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Bank overdrafts + Loans and borrowings + Finance leases + Deferred consideration payable – Cash and cash equivalents</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EBITDA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Operating profit + Depreciation charge + Amortisation charge</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majority of the elements used to calculate the Net Debt to EBITDA Ratio should be shown on the face of the Balance sheet, Income statement and Statement of Cash Flows in a standard set of financial statements but will otherwise be found in the notes to the financial statements.</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Net Debt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Deferred consideration payable should be included in Net Debt despite typically being non-interest bearing.</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Cash and cash equivalents should include short-term financial investments shown in current assets.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Net debt is negative (i.e. an entity has net cash), the relevant Financial Target Threshold should be treated as having been met.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bookmarkStart w:colFirst="0" w:colLast="0" w:name="_heading=h.1pxezwc" w:id="6"/>
            <w:bookmarkEnd w:id="6"/>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EBITDA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Operating profit should be shown on the face of the Income Statement and, for the purposes of calculating this Financial Indicator, should include the entity’s share of the results of any joint ventures or Associates.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trPr>
          <w:cantSplit w:val="0"/>
          <w:tblHeader w:val="0"/>
        </w:trPr>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 Debt + Net  Pension Deficit to EBITDA ratio</w:t>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Net Debt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Bank overdrafts + Loans and borrowings + Finance leases + Deferred consideration payable – Cash and cash equivalents</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Net Pension Deficit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Retirement Benefit Obligations – Retirement Benefit Assets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EBITDA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Operating profit + Depreciation charge + Amortisation charge</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Net Debt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non-designated hedges). Borrowings should also include balances owed to other group members.</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Deferred consideration payable should be included in Net Debt despite typically being non-interest bearing.</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Cash and cash equivalents should include short-term financial investments shown in current assets.</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Net Pension Deficit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‘Net Debt + Net Pension Deficit’ is negative, the relevant Financial Target Threshold should be treated as having been met.</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EBITDA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Operating profit should be shown on the face of the Income Statement and, for the purposes of calculating this Financial Indicator, should include the entity’s share of the results of any joint ventures or Associates.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9x2ik5"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depreciation and amortisation charges for the period may be found on the face of the Statement of Cash Flows or in a Note to the Accounts.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EBITDA is negative, the relevant Financial Target Threshold should be treated as not having been met (unless ‘Net Debt + Net Pension Deficit’ is also negative, in which case the relevant Financial Target Threshold should be regarded as having been met).</w:t>
            </w:r>
          </w:p>
        </w:tc>
      </w:tr>
      <w:tr>
        <w:trPr>
          <w:cantSplit w:val="0"/>
          <w:tblHeader w:val="0"/>
        </w:trPr>
        <w:tc>
          <w:tcPr>
            <w:vAlign w:val="cente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 Interest Paid Cover</w:t>
            </w:r>
          </w:p>
        </w:tc>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Earnings Before Interest and Tax</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Operating profit</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Net Interest Paid</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Interest paid – Interest received</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Operating profit should be shown on the face of the Income Statement in a standard set of financial statements and, for the purposes of calculating this Financial Indicator, should include the entity’s share of the results of any joint ventures or Associates.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Interest received and interest paid should be shown on the face of the Cash Flow statement.</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Net interest paid is negative (i.e. the entity has net interest received), the relevant Financial Target Threshold should be treated as having been met.</w:t>
            </w:r>
          </w:p>
        </w:tc>
      </w:tr>
      <w:tr>
        <w:trPr>
          <w:cantSplit w:val="0"/>
          <w:tblHeader w:val="0"/>
        </w:trPr>
        <w:tc>
          <w:tcPr>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Acid Ratio</w:t>
            </w:r>
          </w:p>
        </w:tc>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elements that are used to calculate the Acid Ratio are available on the face of the Balance Sheet in a standard set of financial statements.</w:t>
            </w:r>
          </w:p>
        </w:tc>
      </w:tr>
      <w:tr>
        <w:trPr>
          <w:cantSplit w:val="0"/>
          <w:tblHeader w:val="0"/>
        </w:trPr>
        <w:tc>
          <w:tcPr>
            <w:vAlign w:val="cente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 Asset value</w:t>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trPr>
          <w:cantSplit w:val="0"/>
          <w:tblHeader w:val="0"/>
        </w:trPr>
        <w:tc>
          <w:tcPr>
            <w:vAlign w:val="cente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Group Exposure Ratio</w:t>
            </w:r>
          </w:p>
        </w:tc>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Group Exposure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Balances owed by Group Undertakings + Contingent liabilities assumed in support of Group Undertakings</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Gross Assets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 Fixed Assets + Current Assets</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Group Exposure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Balances owed by (ie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many cases an entity may not have assumed any contingent liabilities in support of Group Undertakings, in particular where an entity is not a member of a group or is itself the ultimate holding company of the group.</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Gross Assets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Fixed assets and Current assets are shown on the face of the Balance Sheet</w:t>
            </w:r>
          </w:p>
        </w:tc>
      </w:tr>
    </w:tb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spacing w:after="200" w:line="276" w:lineRule="auto"/>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2p2csry" w:id="8"/>
      <w:bookmarkEnd w:id="8"/>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Annex 4: Board Confirmation</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Name: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 Reference Number:</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47n2zr"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of Directors acknowledge the requirements set out at paragraph 8 of Joint Schedule 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Financial Distress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confirm that the Supplier has exercised due care and diligence and made reasonable enquiry of all relevant Supplier Staff and other persons as is reasonably necessary to enable the Board to prepare this statement.</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of Directors confirms, to the best of its knowledge and belief, that as at the date of this Board Confirmation it is not aware of and has no knowledge:</w:t>
      </w:r>
    </w:p>
    <w:p w:rsidR="00000000" w:rsidDel="00000000" w:rsidP="00000000" w:rsidRDefault="00000000" w:rsidRPr="00000000" w14:paraId="0000012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720"/>
          <w:tab w:val="left" w:leader="none" w:pos="1803"/>
        </w:tabs>
        <w:spacing w:after="200" w:before="100" w:line="240" w:lineRule="auto"/>
        <w:ind w:left="1803" w:right="0" w:hanging="1083"/>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a Financial Distress Event has occurred since the later of the previous Board Confirmation and the Effective Date or is subsisting; or</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720"/>
          <w:tab w:val="left" w:leader="none" w:pos="1803"/>
        </w:tabs>
        <w:spacing w:after="200" w:before="100" w:line="240" w:lineRule="auto"/>
        <w:ind w:left="1803" w:right="0" w:hanging="1083"/>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any matters which have occurred or are subsisting that could reasonably be expected to cause a Financial Distress Event</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behalf of the Board of Directors: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180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Chair</w:t>
        <w:tab/>
        <w:tab/>
        <w:t xml:space="preserv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180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w:t>
        <w:tab/>
        <w:tab/>
        <w:t xml:space="preserv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180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tab/>
        <w:tab/>
        <w:t xml:space="preserv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180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Director</w:t>
        <w:tab/>
        <w:tab/>
        <w:t xml:space="preserv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180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w:t>
        <w:tab/>
        <w:tab/>
        <w:t xml:space="preserve">…………………………………</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180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tab/>
        <w:tab/>
        <w:t xml:space="preserve">…………………………………</w:t>
      </w:r>
    </w:p>
    <w:p w:rsidR="00000000" w:rsidDel="00000000" w:rsidP="00000000" w:rsidRDefault="00000000" w:rsidRPr="00000000" w14:paraId="00000138">
      <w:pPr>
        <w:spacing w:after="200" w:line="276" w:lineRule="auto"/>
        <w:jc w:val="left"/>
        <w:rPr>
          <w:rFonts w:ascii="Arial" w:cs="Arial" w:eastAsia="Arial" w:hAnsi="Arial"/>
          <w:sz w:val="24"/>
          <w:szCs w:val="24"/>
        </w:rPr>
      </w:pPr>
      <w:bookmarkStart w:colFirst="0" w:colLast="0" w:name="_heading=h.4i7ojhp" w:id="10"/>
      <w:bookmarkEnd w:id="10"/>
      <w:r w:rsidDel="00000000" w:rsidR="00000000" w:rsidRPr="00000000">
        <w:rPr>
          <w:rtl w:val="0"/>
        </w:rPr>
      </w:r>
    </w:p>
    <w:sectPr>
      <w:headerReference r:id="rId8" w:type="defaul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v3.6</w:t>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tabs>
        <w:tab w:val="center" w:leader="none" w:pos="4513"/>
        <w:tab w:val="right" w:leader="none"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bfbfbf"/>
        <w:sz w:val="22"/>
        <w:szCs w:val="22"/>
        <w:u w:val="none"/>
        <w:shd w:fill="auto" w:val="clear"/>
        <w:vertAlign w:val="baseline"/>
      </w:rPr>
    </w:pPr>
    <w:r w:rsidDel="00000000" w:rsidR="00000000" w:rsidRPr="00000000">
      <w:rPr>
        <w:rFonts w:ascii="Calibri" w:cs="Calibri" w:eastAsia="Calibri" w:hAnsi="Calibri"/>
        <w:b w:val="0"/>
        <w:i w:val="0"/>
        <w:smallCaps w:val="0"/>
        <w:strike w:val="0"/>
        <w:color w:val="bfbfbf"/>
        <w:sz w:val="22"/>
        <w:szCs w:val="22"/>
        <w:u w:val="none"/>
        <w:shd w:fill="auto" w:val="clear"/>
        <w:vertAlign w:val="baseline"/>
        <w:rtl w:val="0"/>
      </w:rPr>
      <w:t xml:space="preserve">Project Version: v1.0</w:t>
      <w:tab/>
      <w:tab/>
      <w:tab/>
      <w:t xml:space="preserve"> </w:t>
    </w:r>
    <w:r w:rsidDel="00000000" w:rsidR="00000000" w:rsidRPr="00000000">
      <w:rPr>
        <w:rFonts w:ascii="Calibri" w:cs="Calibri" w:eastAsia="Calibri" w:hAnsi="Calibri"/>
        <w:b w:val="0"/>
        <w:i w:val="0"/>
        <w:smallCaps w:val="0"/>
        <w:strike w:val="0"/>
        <w:color w:val="bfbfb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spacing w:after="0" w:lineRule="auto"/>
      <w:rPr>
        <w:rFonts w:ascii="Arial" w:cs="Arial" w:eastAsia="Arial" w:hAnsi="Arial"/>
        <w:color w:val="bfbfbf"/>
        <w:sz w:val="20"/>
        <w:szCs w:val="20"/>
      </w:rPr>
    </w:pPr>
    <w:r w:rsidDel="00000000" w:rsidR="00000000" w:rsidRPr="00000000">
      <w:rPr>
        <w:color w:val="bfbfbf"/>
        <w:rtl w:val="0"/>
      </w:rPr>
      <w:t xml:space="preserve">Model Version : v3.0</w:t>
      <w:tab/>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7 (Financial Difficulties)</w:t>
    </w: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1803" w:hanging="1083"/>
      </w:pPr>
      <w:rPr/>
    </w:lvl>
    <w:lvl w:ilvl="3">
      <w:start w:val="1"/>
      <w:numFmt w:val="lowerLetter"/>
      <w:lvlText w:val="(%4)"/>
      <w:lvlJc w:val="left"/>
      <w:pPr>
        <w:ind w:left="1803" w:hanging="1083"/>
      </w:pPr>
      <w:rPr/>
    </w:lvl>
    <w:lvl w:ilvl="4">
      <w:start w:val="1"/>
      <w:numFmt w:val="lowerRoman"/>
      <w:lvlText w:val="(%5)"/>
      <w:lvlJc w:val="left"/>
      <w:pPr>
        <w:ind w:left="2523" w:hanging="720"/>
      </w:pPr>
      <w:rPr/>
    </w:lvl>
    <w:lvl w:ilvl="5">
      <w:start w:val="1"/>
      <w:numFmt w:val="upperLetter"/>
      <w:lvlText w:val="(%6)"/>
      <w:lvlJc w:val="left"/>
      <w:pPr>
        <w:ind w:left="3243" w:hanging="720"/>
      </w:pPr>
      <w:rPr/>
    </w:lvl>
    <w:lvl w:ilvl="6">
      <w:start w:val="1"/>
      <w:numFmt w:val="decimal"/>
      <w:lvlText w:val=""/>
      <w:lvlJc w:val="left"/>
      <w:pPr>
        <w:ind w:left="2523" w:hanging="720"/>
      </w:pPr>
      <w:rPr/>
    </w:lvl>
    <w:lvl w:ilvl="7">
      <w:start w:val="1"/>
      <w:numFmt w:val="decimal"/>
      <w:lvlText w:val=""/>
      <w:lvlJc w:val="left"/>
      <w:pPr>
        <w:ind w:left="2523" w:hanging="720"/>
      </w:pPr>
      <w:rPr/>
    </w:lvl>
    <w:lvl w:ilvl="8">
      <w:start w:val="1"/>
      <w:numFmt w:val="decimal"/>
      <w:lvlText w:val=""/>
      <w:lvlJc w:val="left"/>
      <w:pPr>
        <w:ind w:left="2523" w:hanging="72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paragraph" w:styleId="Heading1">
    <w:name w:val="heading 1"/>
    <w:basedOn w:val="Normal"/>
    <w:next w:val="Normal"/>
    <w:link w:val="Heading1Char"/>
    <w:rsid w:val="00A96D9C"/>
    <w:pPr>
      <w:keepNext w:val="1"/>
      <w:keepLines w:val="1"/>
      <w:spacing w:after="120" w:before="480"/>
      <w:outlineLvl w:val="0"/>
    </w:pPr>
    <w:rPr>
      <w:b w:val="1"/>
      <w:sz w:val="48"/>
      <w:szCs w:val="48"/>
      <w:lang w:eastAsia="en-GB"/>
    </w:rPr>
  </w:style>
  <w:style w:type="paragraph" w:styleId="Heading2">
    <w:name w:val="heading 2"/>
    <w:basedOn w:val="Normal"/>
    <w:next w:val="Normal"/>
    <w:link w:val="Heading2Char"/>
    <w:rsid w:val="00A96D9C"/>
    <w:pPr>
      <w:keepNext w:val="1"/>
      <w:keepLines w:val="1"/>
      <w:spacing w:after="80" w:before="360"/>
      <w:outlineLvl w:val="1"/>
    </w:pPr>
    <w:rPr>
      <w:b w:val="1"/>
      <w:sz w:val="36"/>
      <w:szCs w:val="36"/>
      <w:lang w:eastAsia="en-GB"/>
    </w:rPr>
  </w:style>
  <w:style w:type="paragraph" w:styleId="Heading3">
    <w:name w:val="heading 3"/>
    <w:basedOn w:val="Normal"/>
    <w:next w:val="Normal"/>
    <w:link w:val="Heading3Char"/>
    <w:rsid w:val="00A96D9C"/>
    <w:pPr>
      <w:keepNext w:val="1"/>
      <w:keepLines w:val="1"/>
      <w:spacing w:after="80" w:before="280"/>
      <w:outlineLvl w:val="2"/>
    </w:pPr>
    <w:rPr>
      <w:b w:val="1"/>
      <w:sz w:val="28"/>
      <w:szCs w:val="28"/>
      <w:lang w:eastAsia="en-GB"/>
    </w:rPr>
  </w:style>
  <w:style w:type="paragraph" w:styleId="Heading4">
    <w:name w:val="heading 4"/>
    <w:basedOn w:val="Normal"/>
    <w:next w:val="Normal"/>
    <w:link w:val="Heading4Char"/>
    <w:rsid w:val="00A96D9C"/>
    <w:pPr>
      <w:keepNext w:val="1"/>
      <w:keepLines w:val="1"/>
      <w:spacing w:after="40" w:before="240"/>
      <w:outlineLvl w:val="3"/>
    </w:pPr>
    <w:rPr>
      <w:b w:val="1"/>
      <w:sz w:val="24"/>
      <w:szCs w:val="24"/>
      <w:lang w:eastAsia="en-GB"/>
    </w:rPr>
  </w:style>
  <w:style w:type="paragraph" w:styleId="Heading5">
    <w:name w:val="heading 5"/>
    <w:basedOn w:val="Normal"/>
    <w:next w:val="Normal"/>
    <w:link w:val="Heading5Char"/>
    <w:rsid w:val="00A96D9C"/>
    <w:pPr>
      <w:keepNext w:val="1"/>
      <w:keepLines w:val="1"/>
      <w:spacing w:after="40" w:before="220"/>
      <w:outlineLvl w:val="4"/>
    </w:pPr>
    <w:rPr>
      <w:b w:val="1"/>
      <w:lang w:eastAsia="en-GB"/>
    </w:rPr>
  </w:style>
  <w:style w:type="paragraph" w:styleId="Heading6">
    <w:name w:val="heading 6"/>
    <w:basedOn w:val="Normal"/>
    <w:next w:val="Normal"/>
    <w:link w:val="Heading6Char"/>
    <w:rsid w:val="00A96D9C"/>
    <w:pPr>
      <w:keepNext w:val="1"/>
      <w:keepLines w:val="1"/>
      <w:spacing w:after="40" w:before="200"/>
      <w:outlineLvl w:val="5"/>
    </w:pPr>
    <w:rPr>
      <w:b w:val="1"/>
      <w:sz w:val="20"/>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MarginText" w:customStyle="1">
    <w:name w:val="Margin Text"/>
    <w:basedOn w:val="Normal"/>
    <w:link w:val="MarginTextChar"/>
    <w:pPr>
      <w:keepNext w:val="1"/>
      <w:overflowPunct w:val="1"/>
      <w:autoSpaceDE w:val="1"/>
      <w:autoSpaceDN w:val="1"/>
      <w:spacing w:after="120" w:before="240"/>
      <w:ind w:left="142"/>
      <w:textAlignment w:val="auto"/>
    </w:pPr>
    <w:rPr>
      <w:rFonts w:cs="Times New Roman" w:eastAsia="STZhongsong"/>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rsid w:val="00A96D9C"/>
    <w:pPr>
      <w:numPr>
        <w:numId w:val="2"/>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rsid w:val="00A96D9C"/>
    <w:pPr>
      <w:numPr>
        <w:ilvl w:val="2"/>
        <w:numId w:val="2"/>
      </w:numPr>
      <w:tabs>
        <w:tab w:val="left" w:pos="1985"/>
      </w:tabs>
      <w:overflowPunct w:val="1"/>
      <w:autoSpaceDE w:val="1"/>
      <w:autoSpaceDN w:val="1"/>
      <w:spacing w:after="120" w:before="120"/>
      <w:textAlignment w:val="auto"/>
    </w:pPr>
    <w:rPr>
      <w:lang w:eastAsia="zh-CN"/>
    </w:rPr>
  </w:style>
  <w:style w:type="paragraph" w:styleId="GPSL4numberedclause" w:customStyle="1">
    <w:name w:val="GPS L4 numbered clause"/>
    <w:basedOn w:val="GPSL3numberedclause"/>
    <w:link w:val="GPSL4numberedclauseChar"/>
    <w:qFormat w:val="1"/>
    <w:rsid w:val="00A96D9C"/>
    <w:pPr>
      <w:numPr>
        <w:ilvl w:val="3"/>
      </w:numPr>
      <w:tabs>
        <w:tab w:val="clear" w:pos="1985"/>
      </w:tabs>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val="1"/>
    <w:rsid w:val="00A96D9C"/>
    <w:pPr>
      <w:numPr>
        <w:ilvl w:val="1"/>
        <w:numId w:val="2"/>
      </w:numPr>
      <w:tabs>
        <w:tab w:val="left" w:pos="1134"/>
      </w:tabs>
      <w:overflowPunct w:val="1"/>
      <w:autoSpaceDE w:val="1"/>
      <w:autoSpaceDN w:val="1"/>
      <w:spacing w:after="120" w:before="120"/>
      <w:ind w:hanging="218"/>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Definition" w:customStyle="1">
    <w:name w:val="GPs Definition"/>
    <w:basedOn w:val="Normal"/>
    <w:qFormat w:val="1"/>
    <w:rsid w:val="00A96D9C"/>
    <w:pPr>
      <w:numPr>
        <w:numId w:val="1"/>
      </w:numPr>
      <w:tabs>
        <w:tab w:val="left" w:pos="175"/>
      </w:tabs>
      <w:spacing w:after="120"/>
    </w:pPr>
  </w:style>
  <w:style w:type="paragraph" w:styleId="GPSDefinitionL2" w:customStyle="1">
    <w:name w:val="GPS Definition L2"/>
    <w:basedOn w:val="GPsDefinition"/>
    <w:qFormat w:val="1"/>
    <w:pPr>
      <w:numPr>
        <w:ilvl w:val="1"/>
      </w:numPr>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spacing w:after="120"/>
      <w:ind w:left="-108"/>
      <w:jc w:val="left"/>
    </w:pPr>
    <w:rPr>
      <w:b w:val="1"/>
    </w:rPr>
  </w:style>
  <w:style w:type="paragraph" w:styleId="GPSL1SCHEDULEHeading" w:customStyle="1">
    <w:name w:val="GPS L1 SCHEDULE Heading"/>
    <w:basedOn w:val="GPSL1CLAUSEHEADING"/>
    <w:link w:val="GPSL1SCHEDULEHeadingChar"/>
    <w:qFormat w:val="1"/>
    <w:pPr>
      <w:outlineLvl w:val="9"/>
    </w:pPr>
  </w:style>
  <w:style w:type="paragraph" w:styleId="GPSL2Indent" w:customStyle="1">
    <w:name w:val="GPS L2 Indent"/>
    <w:basedOn w:val="Normal"/>
    <w:link w:val="GPSL2IndentChar"/>
    <w:qFormat w:val="1"/>
    <w:pPr>
      <w:tabs>
        <w:tab w:val="left" w:pos="3402"/>
      </w:tabs>
      <w:spacing w:after="220"/>
      <w:ind w:left="1134"/>
    </w:pPr>
    <w:rPr>
      <w:szCs w:val="24"/>
    </w:rPr>
  </w:style>
  <w:style w:type="paragraph" w:styleId="GPSL3Indent" w:customStyle="1">
    <w:name w:val="GPS L3 Indent"/>
    <w:basedOn w:val="Normal"/>
    <w:link w:val="GPSL3IndentChar"/>
    <w:pPr>
      <w:overflowPunct w:val="1"/>
      <w:autoSpaceDE w:val="1"/>
      <w:autoSpaceDN w:val="1"/>
      <w:spacing w:after="120" w:before="120"/>
      <w:ind w:left="1985"/>
      <w:textAlignment w:val="auto"/>
    </w:pPr>
    <w:rPr>
      <w:lang w:eastAsia="zh-CN" w:val="en-US"/>
    </w:rPr>
  </w:style>
  <w:style w:type="paragraph" w:styleId="GPSmacrorestart" w:customStyle="1">
    <w:name w:val="GPS macro restart"/>
    <w:basedOn w:val="Normal"/>
    <w:qFormat w:val="1"/>
    <w:pPr>
      <w:spacing w:after="0"/>
    </w:pPr>
    <w:rPr>
      <w:color w:val="ffffff"/>
      <w:sz w:val="16"/>
      <w:szCs w:val="16"/>
    </w:rPr>
  </w:style>
  <w:style w:type="paragraph" w:styleId="GPSSchAnnexname" w:customStyle="1">
    <w:name w:val="GPS Sch Annex name"/>
    <w:basedOn w:val="Normal"/>
    <w:link w:val="GPSSchAnnexnameChar"/>
    <w:qFormat w:val="1"/>
    <w:pPr>
      <w:keepNext w:val="1"/>
      <w:overflowPunct w:val="1"/>
      <w:autoSpaceDE w:val="1"/>
      <w:autoSpaceDN w:val="1"/>
      <w:ind w:firstLine="426"/>
      <w:jc w:val="center"/>
      <w:textAlignment w:val="auto"/>
      <w:outlineLvl w:val="1"/>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rsid w:val="00A96D9C"/>
    <w:pPr>
      <w:tabs>
        <w:tab w:val="clear" w:pos="1134"/>
      </w:tabs>
      <w:ind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3IndentChar" w:customStyle="1">
    <w:name w:val="GPS L3 Indent Char"/>
    <w:link w:val="GPSL3Indent"/>
    <w:locked w:val="1"/>
    <w:rPr>
      <w:rFonts w:ascii="Calibri" w:cs="Arial" w:eastAsia="Times New Roman" w:hAnsi="Calibri"/>
      <w:lang w:eastAsia="zh-CN" w:val="en-US"/>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2IndentChar" w:customStyle="1">
    <w:name w:val="GPS L2 Indent Char"/>
    <w:link w:val="GPSL2Indent"/>
    <w:rPr>
      <w:rFonts w:ascii="Calibri" w:cs="Arial" w:eastAsia="Times New Roman" w:hAnsi="Calibri"/>
      <w:szCs w:val="24"/>
    </w:rPr>
  </w:style>
  <w:style w:type="character" w:styleId="GPSSchAnnexnameChar" w:customStyle="1">
    <w:name w:val="GPS Sch Annex name Char"/>
    <w:link w:val="GPSSchAnnexname"/>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character" w:styleId="Hyperlink">
    <w:name w:val="Hyperlink"/>
    <w:basedOn w:val="DefaultParagraphFont"/>
    <w:uiPriority w:val="99"/>
    <w:semiHidden w:val="1"/>
    <w:unhideWhenUsed w:val="1"/>
    <w:rPr>
      <w:color w:val="0000ff"/>
      <w:u w:val="single"/>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pPr>
      <w:spacing w:after="0" w:line="240" w:lineRule="auto"/>
    </w:pPr>
    <w:rPr>
      <w:rFonts w:ascii="Calibri" w:cs="Arial" w:eastAsia="Times New Roman" w:hAnsi="Calibri"/>
    </w:rPr>
  </w:style>
  <w:style w:type="paragraph" w:styleId="StdBodyText" w:customStyle="1">
    <w:name w:val="Std Body Text"/>
    <w:basedOn w:val="Normal"/>
    <w:qFormat w:val="1"/>
    <w:rsid w:val="00106E9B"/>
    <w:pPr>
      <w:overflowPunct w:val="1"/>
      <w:autoSpaceDE w:val="1"/>
      <w:autoSpaceDN w:val="1"/>
      <w:adjustRightInd w:val="1"/>
      <w:spacing w:after="200" w:before="100"/>
      <w:jc w:val="left"/>
      <w:textAlignment w:val="auto"/>
    </w:pPr>
    <w:rPr>
      <w:rFonts w:ascii="Arial" w:cs="Times New Roman" w:hAnsi="Arial"/>
      <w:sz w:val="24"/>
      <w:szCs w:val="24"/>
      <w:lang w:eastAsia="en-GB"/>
    </w:rPr>
  </w:style>
  <w:style w:type="paragraph" w:styleId="StdBodyTextBold" w:customStyle="1">
    <w:name w:val="Std Body Text Bold"/>
    <w:basedOn w:val="Normal"/>
    <w:next w:val="StdBodyText"/>
    <w:link w:val="StdBodyTextBoldChar"/>
    <w:qFormat w:val="1"/>
    <w:rsid w:val="00106E9B"/>
    <w:pPr>
      <w:overflowPunct w:val="1"/>
      <w:autoSpaceDE w:val="1"/>
      <w:autoSpaceDN w:val="1"/>
      <w:adjustRightInd w:val="1"/>
      <w:spacing w:after="200" w:before="100"/>
      <w:jc w:val="left"/>
      <w:textAlignment w:val="auto"/>
    </w:pPr>
    <w:rPr>
      <w:rFonts w:ascii="Arial" w:cs="Times New Roman" w:hAnsi="Arial"/>
      <w:b w:val="1"/>
      <w:sz w:val="24"/>
      <w:szCs w:val="24"/>
      <w:lang w:eastAsia="en-GB"/>
    </w:rPr>
  </w:style>
  <w:style w:type="character" w:styleId="StdBodyTextBoldChar" w:customStyle="1">
    <w:name w:val="Std Body Text Bold Char"/>
    <w:basedOn w:val="DefaultParagraphFont"/>
    <w:link w:val="StdBodyTextBold"/>
    <w:rsid w:val="00106E9B"/>
    <w:rPr>
      <w:rFonts w:ascii="Arial" w:cs="Times New Roman" w:eastAsia="Times New Roman" w:hAnsi="Arial"/>
      <w:b w:val="1"/>
      <w:sz w:val="24"/>
      <w:szCs w:val="24"/>
      <w:lang w:eastAsia="en-GB"/>
    </w:rPr>
  </w:style>
  <w:style w:type="paragraph" w:styleId="StdBodyText1" w:customStyle="1">
    <w:name w:val="Std Body Text 1"/>
    <w:basedOn w:val="StdBodyText"/>
    <w:rsid w:val="005F1595"/>
    <w:pPr>
      <w:ind w:left="720"/>
    </w:pPr>
  </w:style>
  <w:style w:type="paragraph" w:styleId="AnnexHeading" w:customStyle="1">
    <w:name w:val="Annex Heading"/>
    <w:basedOn w:val="Normal"/>
    <w:next w:val="Normal"/>
    <w:rsid w:val="006B02AC"/>
    <w:pPr>
      <w:numPr>
        <w:numId w:val="4"/>
      </w:numPr>
      <w:overflowPunct w:val="1"/>
      <w:autoSpaceDE w:val="1"/>
      <w:autoSpaceDN w:val="1"/>
      <w:adjustRightInd w:val="1"/>
      <w:spacing w:after="300" w:before="100"/>
      <w:jc w:val="center"/>
      <w:textAlignment w:val="auto"/>
    </w:pPr>
    <w:rPr>
      <w:rFonts w:ascii="Arial Bold" w:cs="Times New Roman" w:hAnsi="Arial Bold"/>
      <w:b w:val="1"/>
      <w:caps w:val="1"/>
      <w:sz w:val="24"/>
      <w:szCs w:val="24"/>
      <w:lang w:eastAsia="en-GB"/>
    </w:rPr>
  </w:style>
  <w:style w:type="paragraph" w:styleId="AppendixText1" w:customStyle="1">
    <w:name w:val="Appendix Text 1"/>
    <w:basedOn w:val="Normal"/>
    <w:next w:val="StdBodyText1"/>
    <w:rsid w:val="006B02AC"/>
    <w:pPr>
      <w:numPr>
        <w:numId w:val="5"/>
      </w:numPr>
      <w:overflowPunct w:val="1"/>
      <w:autoSpaceDE w:val="1"/>
      <w:autoSpaceDN w:val="1"/>
      <w:adjustRightInd w:val="1"/>
      <w:spacing w:after="200" w:before="100"/>
      <w:jc w:val="left"/>
      <w:textAlignment w:val="auto"/>
    </w:pPr>
    <w:rPr>
      <w:rFonts w:ascii="Arial" w:cs="Times New Roman" w:hAnsi="Arial"/>
      <w:b w:val="1"/>
      <w:sz w:val="24"/>
      <w:szCs w:val="24"/>
      <w:lang w:eastAsia="en-GB"/>
    </w:rPr>
  </w:style>
  <w:style w:type="paragraph" w:styleId="AppendixText2" w:customStyle="1">
    <w:name w:val="Appendix Text 2"/>
    <w:basedOn w:val="AppendixText1"/>
    <w:next w:val="Normal"/>
    <w:rsid w:val="006B02AC"/>
    <w:pPr>
      <w:numPr>
        <w:ilvl w:val="1"/>
      </w:numPr>
    </w:pPr>
    <w:rPr>
      <w:b w:val="0"/>
    </w:rPr>
  </w:style>
  <w:style w:type="paragraph" w:styleId="AppendixText3" w:customStyle="1">
    <w:name w:val="Appendix Text 3"/>
    <w:basedOn w:val="Normal"/>
    <w:next w:val="Normal"/>
    <w:rsid w:val="006B02AC"/>
    <w:pPr>
      <w:numPr>
        <w:ilvl w:val="2"/>
        <w:numId w:val="5"/>
      </w:numPr>
      <w:tabs>
        <w:tab w:val="left" w:pos="720"/>
        <w:tab w:val="left" w:pos="1803"/>
      </w:tabs>
      <w:overflowPunct w:val="1"/>
      <w:autoSpaceDE w:val="1"/>
      <w:autoSpaceDN w:val="1"/>
      <w:adjustRightInd w:val="1"/>
      <w:spacing w:after="200" w:before="100"/>
      <w:jc w:val="left"/>
      <w:textAlignment w:val="auto"/>
    </w:pPr>
    <w:rPr>
      <w:rFonts w:ascii="Arial" w:cs="Times New Roman" w:hAnsi="Arial"/>
      <w:sz w:val="24"/>
      <w:szCs w:val="24"/>
      <w:lang w:eastAsia="en-GB"/>
    </w:rPr>
  </w:style>
  <w:style w:type="paragraph" w:styleId="AppendixText4" w:customStyle="1">
    <w:name w:val="Appendix Text 4"/>
    <w:basedOn w:val="Normal"/>
    <w:next w:val="Normal"/>
    <w:rsid w:val="006B02AC"/>
    <w:pPr>
      <w:numPr>
        <w:ilvl w:val="3"/>
        <w:numId w:val="5"/>
      </w:numPr>
      <w:tabs>
        <w:tab w:val="left" w:pos="720"/>
        <w:tab w:val="left" w:pos="1803"/>
      </w:tabs>
      <w:overflowPunct w:val="1"/>
      <w:autoSpaceDE w:val="1"/>
      <w:autoSpaceDN w:val="1"/>
      <w:adjustRightInd w:val="1"/>
      <w:spacing w:after="200" w:before="100"/>
      <w:jc w:val="left"/>
      <w:textAlignment w:val="auto"/>
    </w:pPr>
    <w:rPr>
      <w:rFonts w:ascii="Arial" w:cs="Times New Roman" w:hAnsi="Arial"/>
      <w:sz w:val="24"/>
      <w:szCs w:val="24"/>
      <w:lang w:eastAsia="en-GB"/>
    </w:rPr>
  </w:style>
  <w:style w:type="paragraph" w:styleId="AppendixText5" w:customStyle="1">
    <w:name w:val="Appendix Text 5"/>
    <w:basedOn w:val="Normal"/>
    <w:next w:val="Normal"/>
    <w:rsid w:val="006B02AC"/>
    <w:pPr>
      <w:numPr>
        <w:ilvl w:val="4"/>
        <w:numId w:val="5"/>
      </w:numPr>
      <w:tabs>
        <w:tab w:val="left" w:pos="720"/>
        <w:tab w:val="left" w:pos="2523"/>
      </w:tabs>
      <w:overflowPunct w:val="1"/>
      <w:autoSpaceDE w:val="1"/>
      <w:autoSpaceDN w:val="1"/>
      <w:adjustRightInd w:val="1"/>
      <w:spacing w:after="200" w:before="100"/>
      <w:jc w:val="left"/>
      <w:textAlignment w:val="auto"/>
    </w:pPr>
    <w:rPr>
      <w:rFonts w:ascii="Arial" w:cs="Times New Roman" w:hAnsi="Arial"/>
      <w:sz w:val="24"/>
      <w:szCs w:val="24"/>
      <w:lang w:eastAsia="en-GB"/>
    </w:rPr>
  </w:style>
  <w:style w:type="paragraph" w:styleId="AppendixText6" w:customStyle="1">
    <w:name w:val="Appendix Text 6"/>
    <w:basedOn w:val="AppendixText5"/>
    <w:rsid w:val="006B02AC"/>
    <w:pPr>
      <w:numPr>
        <w:ilvl w:val="5"/>
      </w:numPr>
    </w:pPr>
  </w:style>
  <w:style w:type="numbering" w:styleId="Level" w:customStyle="1">
    <w:name w:val="Level"/>
    <w:uiPriority w:val="99"/>
    <w:rsid w:val="0034142A"/>
    <w:pPr>
      <w:numPr>
        <w:numId w:val="7"/>
      </w:numPr>
    </w:pPr>
  </w:style>
  <w:style w:type="numbering" w:styleId="Scheduleheading" w:customStyle="1">
    <w:name w:val="Schedule heading"/>
    <w:uiPriority w:val="99"/>
    <w:rsid w:val="0034142A"/>
    <w:pPr>
      <w:numPr>
        <w:numId w:val="8"/>
      </w:numPr>
    </w:pPr>
  </w:style>
  <w:style w:type="paragraph" w:styleId="StdBodyText4" w:customStyle="1">
    <w:name w:val="Std Body Text 4"/>
    <w:basedOn w:val="Normal"/>
    <w:rsid w:val="0034142A"/>
    <w:pPr>
      <w:overflowPunct w:val="1"/>
      <w:autoSpaceDE w:val="1"/>
      <w:autoSpaceDN w:val="1"/>
      <w:adjustRightInd w:val="1"/>
      <w:spacing w:after="200" w:before="100"/>
      <w:ind w:left="1803"/>
      <w:jc w:val="left"/>
      <w:textAlignment w:val="auto"/>
    </w:pPr>
    <w:rPr>
      <w:rFonts w:ascii="Arial" w:cs="Times New Roman" w:hAnsi="Arial"/>
      <w:sz w:val="24"/>
      <w:szCs w:val="24"/>
      <w:lang w:eastAsia="en-GB"/>
    </w:rPr>
  </w:style>
  <w:style w:type="character" w:styleId="Heading1Char" w:customStyle="1">
    <w:name w:val="Heading 1 Char"/>
    <w:basedOn w:val="DefaultParagraphFont"/>
    <w:link w:val="Heading1"/>
    <w:rsid w:val="00A96D9C"/>
    <w:rPr>
      <w:rFonts w:ascii="Calibri" w:cs="Arial" w:eastAsia="Times New Roman" w:hAnsi="Calibri"/>
      <w:b w:val="1"/>
      <w:sz w:val="48"/>
      <w:szCs w:val="48"/>
      <w:lang w:eastAsia="en-GB"/>
    </w:rPr>
  </w:style>
  <w:style w:type="character" w:styleId="Heading2Char" w:customStyle="1">
    <w:name w:val="Heading 2 Char"/>
    <w:basedOn w:val="DefaultParagraphFont"/>
    <w:link w:val="Heading2"/>
    <w:rsid w:val="00A96D9C"/>
    <w:rPr>
      <w:rFonts w:ascii="Calibri" w:cs="Arial" w:eastAsia="Times New Roman" w:hAnsi="Calibri"/>
      <w:b w:val="1"/>
      <w:sz w:val="36"/>
      <w:szCs w:val="36"/>
      <w:lang w:eastAsia="en-GB"/>
    </w:rPr>
  </w:style>
  <w:style w:type="character" w:styleId="Heading3Char" w:customStyle="1">
    <w:name w:val="Heading 3 Char"/>
    <w:basedOn w:val="DefaultParagraphFont"/>
    <w:link w:val="Heading3"/>
    <w:rsid w:val="00A96D9C"/>
    <w:rPr>
      <w:rFonts w:ascii="Calibri" w:cs="Arial" w:eastAsia="Times New Roman" w:hAnsi="Calibri"/>
      <w:b w:val="1"/>
      <w:sz w:val="28"/>
      <w:szCs w:val="28"/>
      <w:lang w:eastAsia="en-GB"/>
    </w:rPr>
  </w:style>
  <w:style w:type="character" w:styleId="Heading4Char" w:customStyle="1">
    <w:name w:val="Heading 4 Char"/>
    <w:basedOn w:val="DefaultParagraphFont"/>
    <w:link w:val="Heading4"/>
    <w:rsid w:val="00A96D9C"/>
    <w:rPr>
      <w:rFonts w:ascii="Calibri" w:cs="Arial" w:eastAsia="Times New Roman" w:hAnsi="Calibri"/>
      <w:b w:val="1"/>
      <w:sz w:val="24"/>
      <w:szCs w:val="24"/>
      <w:lang w:eastAsia="en-GB"/>
    </w:rPr>
  </w:style>
  <w:style w:type="character" w:styleId="Heading5Char" w:customStyle="1">
    <w:name w:val="Heading 5 Char"/>
    <w:basedOn w:val="DefaultParagraphFont"/>
    <w:link w:val="Heading5"/>
    <w:rsid w:val="00A96D9C"/>
    <w:rPr>
      <w:rFonts w:ascii="Calibri" w:cs="Arial" w:eastAsia="Times New Roman" w:hAnsi="Calibri"/>
      <w:b w:val="1"/>
      <w:lang w:eastAsia="en-GB"/>
    </w:rPr>
  </w:style>
  <w:style w:type="character" w:styleId="Heading6Char" w:customStyle="1">
    <w:name w:val="Heading 6 Char"/>
    <w:basedOn w:val="DefaultParagraphFont"/>
    <w:link w:val="Heading6"/>
    <w:rsid w:val="00A96D9C"/>
    <w:rPr>
      <w:rFonts w:ascii="Calibri" w:cs="Arial" w:eastAsia="Times New Roman" w:hAnsi="Calibri"/>
      <w:b w:val="1"/>
      <w:sz w:val="20"/>
      <w:szCs w:val="20"/>
      <w:lang w:eastAsia="en-GB"/>
    </w:rPr>
  </w:style>
  <w:style w:type="paragraph" w:styleId="Title">
    <w:name w:val="Title"/>
    <w:basedOn w:val="Normal"/>
    <w:next w:val="Normal"/>
    <w:link w:val="TitleChar"/>
    <w:rsid w:val="00A96D9C"/>
    <w:pPr>
      <w:keepNext w:val="1"/>
      <w:keepLines w:val="1"/>
      <w:spacing w:after="120" w:before="480"/>
    </w:pPr>
    <w:rPr>
      <w:b w:val="1"/>
      <w:sz w:val="72"/>
      <w:szCs w:val="72"/>
      <w:lang w:eastAsia="en-GB"/>
    </w:rPr>
  </w:style>
  <w:style w:type="character" w:styleId="TitleChar" w:customStyle="1">
    <w:name w:val="Title Char"/>
    <w:basedOn w:val="DefaultParagraphFont"/>
    <w:link w:val="Title"/>
    <w:rsid w:val="00A96D9C"/>
    <w:rPr>
      <w:rFonts w:ascii="Calibri" w:cs="Arial" w:eastAsia="Times New Roman" w:hAnsi="Calibri"/>
      <w:b w:val="1"/>
      <w:sz w:val="72"/>
      <w:szCs w:val="72"/>
      <w:lang w:eastAsia="en-GB"/>
    </w:rPr>
  </w:style>
  <w:style w:type="paragraph" w:styleId="Subtitle">
    <w:name w:val="Subtitle"/>
    <w:basedOn w:val="Normal"/>
    <w:next w:val="Normal"/>
    <w:link w:val="SubtitleChar"/>
    <w:rsid w:val="00A96D9C"/>
    <w:pPr>
      <w:keepNext w:val="1"/>
      <w:keepLines w:val="1"/>
      <w:spacing w:after="80" w:before="360"/>
    </w:pPr>
    <w:rPr>
      <w:rFonts w:ascii="Georgia" w:cs="Georgia" w:eastAsia="Georgia" w:hAnsi="Georgia"/>
      <w:i w:val="1"/>
      <w:color w:val="666666"/>
      <w:sz w:val="48"/>
      <w:szCs w:val="48"/>
      <w:lang w:eastAsia="en-GB"/>
    </w:rPr>
  </w:style>
  <w:style w:type="character" w:styleId="SubtitleChar" w:customStyle="1">
    <w:name w:val="Subtitle Char"/>
    <w:basedOn w:val="DefaultParagraphFont"/>
    <w:link w:val="Subtitle"/>
    <w:rsid w:val="00A96D9C"/>
    <w:rPr>
      <w:rFonts w:ascii="Georgia" w:cs="Georgia" w:eastAsia="Georgia" w:hAnsi="Georgia"/>
      <w:i w:val="1"/>
      <w:color w:val="666666"/>
      <w:sz w:val="48"/>
      <w:szCs w:val="48"/>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strategic-supplier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wgBNlI9/Gt5R6Dld6k28jv/Bg==">CgMxLjAyCWguM2R5NnZrbTIJaC4xY2k5M3hiMgloLjN3aHdtbDQyCWguMmJuNndzeDIIaC5xc2g3MHEyCWguM2FzNHBvajIJaC4xcHhlendjMgloLjQ5eDJpazUyCWguMnAyY3NyeTIJaC4xNDduMnpyMgloLjRpN29qaHA4AHIhMXBIR3EwNDRoOF9sQmh6NktpM1BaM1dMOENJZE5XczM4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2023-02-05T22:26:00Z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