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r w:rsidDel="00000000" w:rsidR="00000000" w:rsidRPr="00000000">
        <w:rPr>
          <w:rtl w:val="0"/>
        </w:rPr>
      </w:r>
    </w:p>
    <w:p w:rsidR="00000000" w:rsidDel="00000000" w:rsidP="00000000" w:rsidRDefault="00000000" w:rsidRPr="00000000" w14:paraId="00000002">
      <w:pPr>
        <w:pStyle w:val="Title"/>
        <w:keepNext w:val="0"/>
        <w:keepLines w:val="0"/>
        <w:rPr/>
      </w:pPr>
      <w:r w:rsidDel="00000000" w:rsidR="00000000" w:rsidRPr="00000000">
        <w:rPr>
          <w:rtl w:val="0"/>
        </w:rPr>
      </w:r>
    </w:p>
    <w:p w:rsidR="00000000" w:rsidDel="00000000" w:rsidP="00000000" w:rsidRDefault="00000000" w:rsidRPr="00000000" w14:paraId="00000003">
      <w:pPr>
        <w:pStyle w:val="Title"/>
        <w:keepNext w:val="0"/>
        <w:keepLines w:val="0"/>
        <w:rPr>
          <w:b w:val="1"/>
          <w:sz w:val="60"/>
          <w:szCs w:val="60"/>
        </w:rPr>
      </w:pPr>
      <w:r w:rsidDel="00000000" w:rsidR="00000000" w:rsidRPr="00000000">
        <w:rPr>
          <w:b w:val="1"/>
          <w:sz w:val="60"/>
          <w:szCs w:val="60"/>
          <w:rtl w:val="0"/>
        </w:rPr>
        <w:t xml:space="preserve">Required compliance, accreditations and insurance v6 </w:t>
      </w:r>
    </w:p>
    <w:p w:rsidR="00000000" w:rsidDel="00000000" w:rsidP="00000000" w:rsidRDefault="00000000" w:rsidRPr="00000000" w14:paraId="00000004">
      <w:pPr>
        <w:pStyle w:val="Title"/>
        <w:keepNext w:val="0"/>
        <w:keepLines w:val="0"/>
        <w:spacing w:line="276" w:lineRule="auto"/>
        <w:rPr/>
      </w:pPr>
      <w:r w:rsidDel="00000000" w:rsidR="00000000" w:rsidRPr="00000000">
        <w:rPr>
          <w:rtl w:val="0"/>
        </w:rPr>
        <w:t xml:space="preserve">RM6369</w:t>
      </w:r>
    </w:p>
    <w:p w:rsidR="00000000" w:rsidDel="00000000" w:rsidP="00000000" w:rsidRDefault="00000000" w:rsidRPr="00000000" w14:paraId="00000005">
      <w:pPr>
        <w:pStyle w:val="Title"/>
        <w:keepNext w:val="0"/>
        <w:keepLines w:val="0"/>
        <w:spacing w:line="276" w:lineRule="auto"/>
        <w:rPr/>
        <w:sectPr>
          <w:headerReference r:id="rId6" w:type="default"/>
          <w:footerReference r:id="rId7" w:type="default"/>
          <w:pgSz w:h="16834" w:w="11909" w:orient="portrait"/>
          <w:pgMar w:bottom="1440" w:top="1440" w:left="1440" w:right="1440" w:header="720" w:footer="720"/>
          <w:pgNumType w:start="1"/>
        </w:sectPr>
      </w:pPr>
      <w:bookmarkStart w:colFirst="0" w:colLast="0" w:name="_u4s8w93yq93j" w:id="0"/>
      <w:bookmarkEnd w:id="0"/>
      <w:r w:rsidDel="00000000" w:rsidR="00000000" w:rsidRPr="00000000">
        <w:rPr>
          <w:rtl w:val="0"/>
        </w:rPr>
        <w:t xml:space="preserve">The Marketplace</w:t>
      </w:r>
      <w:r w:rsidDel="00000000" w:rsidR="00000000" w:rsidRPr="00000000">
        <w:rPr/>
        <w:drawing>
          <wp:anchor allowOverlap="1" behindDoc="1" distB="114300" distT="114300" distL="114300" distR="114300" hidden="0" layoutInCell="1" locked="0" relativeHeight="0" simplePos="0">
            <wp:simplePos x="0" y="0"/>
            <wp:positionH relativeFrom="page">
              <wp:posOffset>-18287</wp:posOffset>
            </wp:positionH>
            <wp:positionV relativeFrom="page">
              <wp:posOffset>987552</wp:posOffset>
            </wp:positionV>
            <wp:extent cx="7629525" cy="7604178"/>
            <wp:effectExtent b="0" l="0" r="0" t="0"/>
            <wp:wrapNone/>
            <wp:docPr id="1" name="image1.png"/>
            <a:graphic>
              <a:graphicData uri="http://schemas.openxmlformats.org/drawingml/2006/picture">
                <pic:pic>
                  <pic:nvPicPr>
                    <pic:cNvPr id="0" name="image1.png"/>
                    <pic:cNvPicPr preferRelativeResize="0"/>
                  </pic:nvPicPr>
                  <pic:blipFill>
                    <a:blip r:embed="rId8"/>
                    <a:srcRect b="376" l="0" r="0" t="376"/>
                    <a:stretch>
                      <a:fillRect/>
                    </a:stretch>
                  </pic:blipFill>
                  <pic:spPr>
                    <a:xfrm>
                      <a:off x="0" y="0"/>
                      <a:ext cx="7629525" cy="7604178"/>
                    </a:xfrm>
                    <a:prstGeom prst="rect"/>
                    <a:ln/>
                  </pic:spPr>
                </pic:pic>
              </a:graphicData>
            </a:graphic>
          </wp:anchor>
        </w:drawing>
      </w:r>
      <w:r w:rsidDel="00000000" w:rsidR="00000000" w:rsidRPr="00000000">
        <w:rPr/>
        <w:drawing>
          <wp:anchor allowOverlap="1" behindDoc="1" distB="114300" distT="114300" distL="114300" distR="114300" hidden="0" layoutInCell="1" locked="0" relativeHeight="0" simplePos="0">
            <wp:simplePos x="0" y="0"/>
            <wp:positionH relativeFrom="page">
              <wp:posOffset>320040</wp:posOffset>
            </wp:positionH>
            <wp:positionV relativeFrom="page">
              <wp:posOffset>8988552</wp:posOffset>
            </wp:positionV>
            <wp:extent cx="1554480" cy="1261872"/>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554480" cy="1261872"/>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pStyle w:val="Heading1"/>
        <w:rPr/>
      </w:pPr>
      <w:bookmarkStart w:colFirst="0" w:colLast="0" w:name="_30j0zll" w:id="1"/>
      <w:bookmarkEnd w:id="1"/>
      <w:r w:rsidDel="00000000" w:rsidR="00000000" w:rsidRPr="00000000">
        <w:rPr>
          <w:rtl w:val="0"/>
        </w:rPr>
        <w:t xml:space="preserve">Document overview</w:t>
      </w:r>
    </w:p>
    <w:p w:rsidR="00000000" w:rsidDel="00000000" w:rsidP="00000000" w:rsidRDefault="00000000" w:rsidRPr="00000000" w14:paraId="00000007">
      <w:pPr>
        <w:rPr>
          <w:sz w:val="24"/>
          <w:szCs w:val="24"/>
        </w:rPr>
      </w:pPr>
      <w:r w:rsidDel="00000000" w:rsidR="00000000" w:rsidRPr="00000000">
        <w:rPr>
          <w:sz w:val="24"/>
          <w:szCs w:val="24"/>
          <w:rtl w:val="0"/>
        </w:rPr>
        <w:t xml:space="preserve">This document outlines the required accreditations, insurance and Procurement Policy Notes (PPN) that will need to be complied with. Please note that the requirements are subject to change as we develop the agreement, the final bid pack will confirm our requirements.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kb2g2ezehli2" w:id="2"/>
      <w:bookmarkEnd w:id="2"/>
      <w:r w:rsidDel="00000000" w:rsidR="00000000" w:rsidRPr="00000000">
        <w:rPr>
          <w:rtl w:val="0"/>
        </w:rPr>
        <w:t xml:space="preserve">Requirements</w:t>
      </w:r>
    </w:p>
    <w:p w:rsidR="00000000" w:rsidDel="00000000" w:rsidP="00000000" w:rsidRDefault="00000000" w:rsidRPr="00000000" w14:paraId="0000000A">
      <w:pPr>
        <w:rPr/>
      </w:pPr>
      <w:r w:rsidDel="00000000" w:rsidR="00000000" w:rsidRPr="00000000">
        <w:rPr>
          <w:rtl w:val="0"/>
        </w:rPr>
      </w:r>
    </w:p>
    <w:tbl>
      <w:tblPr>
        <w:tblStyle w:val="Table1"/>
        <w:tblW w:w="9015.0" w:type="dxa"/>
        <w:jc w:val="left"/>
        <w:tblInd w:w="-108.0" w:type="dxa"/>
        <w:tblLayout w:type="fixed"/>
        <w:tblLook w:val="0600"/>
      </w:tblPr>
      <w:tblGrid>
        <w:gridCol w:w="2565"/>
        <w:gridCol w:w="6450"/>
        <w:tblGridChange w:id="0">
          <w:tblGrid>
            <w:gridCol w:w="2565"/>
            <w:gridCol w:w="6450"/>
          </w:tblGrid>
        </w:tblGridChange>
      </w:tblGrid>
      <w:tr>
        <w:trPr>
          <w:cantSplit w:val="1"/>
          <w:trHeight w:val="504" w:hRule="atLeast"/>
          <w:tblHeader w:val="1"/>
        </w:trPr>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0B">
            <w:pPr>
              <w:spacing w:line="276" w:lineRule="auto"/>
              <w:rPr>
                <w:b w:val="1"/>
                <w:sz w:val="24"/>
                <w:szCs w:val="24"/>
              </w:rPr>
            </w:pPr>
            <w:r w:rsidDel="00000000" w:rsidR="00000000" w:rsidRPr="00000000">
              <w:rPr>
                <w:b w:val="1"/>
                <w:sz w:val="24"/>
                <w:szCs w:val="24"/>
                <w:rtl w:val="0"/>
              </w:rPr>
              <w:t xml:space="preserve">Requirement</w:t>
            </w:r>
            <w:r w:rsidDel="00000000" w:rsidR="00000000" w:rsidRPr="00000000">
              <w:rPr>
                <w:rtl w:val="0"/>
              </w:rPr>
            </w:r>
          </w:p>
        </w:tc>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0C">
            <w:pPr>
              <w:spacing w:line="276" w:lineRule="auto"/>
              <w:rPr>
                <w:b w:val="1"/>
                <w:sz w:val="24"/>
                <w:szCs w:val="24"/>
              </w:rPr>
            </w:pPr>
            <w:r w:rsidDel="00000000" w:rsidR="00000000" w:rsidRPr="00000000">
              <w:rPr>
                <w:b w:val="1"/>
                <w:sz w:val="24"/>
                <w:szCs w:val="24"/>
                <w:rtl w:val="0"/>
              </w:rPr>
              <w:t xml:space="preserve">Overview</w:t>
            </w:r>
          </w:p>
        </w:tc>
      </w:tr>
      <w:tr>
        <w:trPr>
          <w:cantSplit w:val="1"/>
          <w:trHeight w:val="504" w:hRule="atLeast"/>
          <w:tblHeader w:val="0"/>
        </w:trPr>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0D">
            <w:pPr>
              <w:spacing w:line="276" w:lineRule="auto"/>
              <w:rPr>
                <w:b w:val="1"/>
                <w:sz w:val="24"/>
                <w:szCs w:val="24"/>
              </w:rPr>
            </w:pPr>
            <w:r w:rsidDel="00000000" w:rsidR="00000000" w:rsidRPr="00000000">
              <w:rPr>
                <w:b w:val="1"/>
                <w:sz w:val="24"/>
                <w:szCs w:val="24"/>
                <w:rtl w:val="0"/>
              </w:rPr>
              <w:t xml:space="preserve">Cyber Essentials Plus</w:t>
            </w:r>
            <w:r w:rsidDel="00000000" w:rsidR="00000000" w:rsidRPr="00000000">
              <w:rPr>
                <w:rtl w:val="0"/>
              </w:rPr>
            </w:r>
          </w:p>
        </w:tc>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Following updates to the Cyber Essentials scheme </w:t>
            </w:r>
            <w:hyperlink r:id="rId10">
              <w:r w:rsidDel="00000000" w:rsidR="00000000" w:rsidRPr="00000000">
                <w:rPr>
                  <w:color w:val="1155cc"/>
                  <w:sz w:val="24"/>
                  <w:szCs w:val="24"/>
                  <w:u w:val="single"/>
                  <w:rtl w:val="0"/>
                </w:rPr>
                <w:t xml:space="preserve">PPN 09/23</w:t>
              </w:r>
            </w:hyperlink>
            <w:r w:rsidDel="00000000" w:rsidR="00000000" w:rsidRPr="00000000">
              <w:rPr>
                <w:sz w:val="24"/>
                <w:szCs w:val="24"/>
                <w:rtl w:val="0"/>
              </w:rPr>
              <w:t xml:space="preserve">, we will require all suppliers to hold </w:t>
            </w:r>
            <w:hyperlink r:id="rId11">
              <w:r w:rsidDel="00000000" w:rsidR="00000000" w:rsidRPr="00000000">
                <w:rPr>
                  <w:color w:val="1155cc"/>
                  <w:sz w:val="24"/>
                  <w:szCs w:val="24"/>
                  <w:u w:val="single"/>
                  <w:rtl w:val="0"/>
                </w:rPr>
                <w:t xml:space="preserve">Cyber Essentials Plus accreditation</w:t>
              </w:r>
            </w:hyperlink>
            <w:r w:rsidDel="00000000" w:rsidR="00000000" w:rsidRPr="00000000">
              <w:rPr>
                <w:sz w:val="24"/>
                <w:szCs w:val="24"/>
                <w:rtl w:val="0"/>
              </w:rPr>
              <w:t xml:space="preserve">.</w:t>
            </w:r>
          </w:p>
          <w:p w:rsidR="00000000" w:rsidDel="00000000" w:rsidP="00000000" w:rsidRDefault="00000000" w:rsidRPr="00000000" w14:paraId="0000000F">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Please note that ISO 27001 is not considered as an alternative to Cyber Essentials Plus. The ISO 27001 standard is widely used but companies that attain this standard will not automatically conform to Cyber Essentials Plus. This is because it is not usual for all of the five technical controls in Cyber Essentials to be included in the scope for ISO 27001 implementation. </w:t>
            </w:r>
            <w:r w:rsidDel="00000000" w:rsidR="00000000" w:rsidRPr="00000000">
              <w:rPr>
                <w:rtl w:val="0"/>
              </w:rPr>
            </w:r>
          </w:p>
        </w:tc>
      </w:tr>
      <w:tr>
        <w:trPr>
          <w:cantSplit w:val="1"/>
          <w:trHeight w:val="504" w:hRule="atLeast"/>
          <w:tblHeader w:val="0"/>
        </w:trPr>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1">
            <w:pPr>
              <w:spacing w:line="276" w:lineRule="auto"/>
              <w:rPr>
                <w:b w:val="1"/>
                <w:sz w:val="24"/>
                <w:szCs w:val="24"/>
              </w:rPr>
            </w:pPr>
            <w:r w:rsidDel="00000000" w:rsidR="00000000" w:rsidRPr="00000000">
              <w:rPr>
                <w:b w:val="1"/>
                <w:sz w:val="24"/>
                <w:szCs w:val="24"/>
                <w:rtl w:val="0"/>
              </w:rPr>
              <w:t xml:space="preserve">ISO 27001 Information Security Management Systems</w:t>
            </w:r>
          </w:p>
        </w:tc>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2">
            <w:pPr>
              <w:widowControl w:val="0"/>
              <w:spacing w:line="240" w:lineRule="auto"/>
              <w:rPr>
                <w:sz w:val="26"/>
                <w:szCs w:val="26"/>
              </w:rPr>
            </w:pPr>
            <w:r w:rsidDel="00000000" w:rsidR="00000000" w:rsidRPr="00000000">
              <w:rPr>
                <w:sz w:val="24"/>
                <w:szCs w:val="24"/>
                <w:rtl w:val="0"/>
              </w:rPr>
              <w:t xml:space="preserve">Suppliers will be required to be compliant with ISO 27001 and provide evidence of certification from a UKAS approved certification body.</w:t>
            </w:r>
            <w:r w:rsidDel="00000000" w:rsidR="00000000" w:rsidRPr="00000000">
              <w:rPr>
                <w:rtl w:val="0"/>
              </w:rPr>
            </w:r>
          </w:p>
        </w:tc>
      </w:tr>
      <w:tr>
        <w:trPr>
          <w:cantSplit w:val="1"/>
          <w:trHeight w:val="504" w:hRule="atLeast"/>
          <w:tblHeader w:val="0"/>
        </w:trPr>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3">
            <w:pPr>
              <w:spacing w:line="276" w:lineRule="auto"/>
              <w:rPr>
                <w:b w:val="1"/>
                <w:sz w:val="24"/>
                <w:szCs w:val="24"/>
              </w:rPr>
            </w:pPr>
            <w:r w:rsidDel="00000000" w:rsidR="00000000" w:rsidRPr="00000000">
              <w:rPr>
                <w:b w:val="1"/>
                <w:sz w:val="24"/>
                <w:szCs w:val="24"/>
                <w:rtl w:val="0"/>
              </w:rPr>
              <w:t xml:space="preserve">ISO 9001 Quality management Standards</w:t>
            </w:r>
          </w:p>
        </w:tc>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Suppliers will be required to be compliant with ISO 9001 and provide evidence of certification.</w:t>
            </w:r>
          </w:p>
        </w:tc>
      </w:tr>
      <w:tr>
        <w:trPr>
          <w:cantSplit w:val="1"/>
          <w:trHeight w:val="504" w:hRule="atLeast"/>
          <w:tblHeader w:val="0"/>
        </w:trPr>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5">
            <w:pPr>
              <w:spacing w:line="276" w:lineRule="auto"/>
              <w:rPr>
                <w:b w:val="1"/>
                <w:sz w:val="24"/>
                <w:szCs w:val="24"/>
              </w:rPr>
            </w:pPr>
            <w:r w:rsidDel="00000000" w:rsidR="00000000" w:rsidRPr="00000000">
              <w:rPr>
                <w:b w:val="1"/>
                <w:sz w:val="24"/>
                <w:szCs w:val="24"/>
                <w:rtl w:val="0"/>
              </w:rPr>
              <w:t xml:space="preserve">Business Continuity Management</w:t>
            </w:r>
            <w:r w:rsidDel="00000000" w:rsidR="00000000" w:rsidRPr="00000000">
              <w:rPr>
                <w:rtl w:val="0"/>
              </w:rPr>
            </w:r>
          </w:p>
        </w:tc>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Suppliers will be required to be compliant and provide evidence of </w:t>
            </w:r>
            <w:r w:rsidDel="00000000" w:rsidR="00000000" w:rsidRPr="00000000">
              <w:rPr>
                <w:sz w:val="24"/>
                <w:szCs w:val="24"/>
                <w:rtl w:val="0"/>
              </w:rPr>
              <w:t xml:space="preserve">Business Continuity Management, ISO/IEC 27031, ISO 22301 and ISO/IEC 24762 in the provision of IT Service Continuity/Disaster Recovery plans.</w:t>
            </w:r>
            <w:r w:rsidDel="00000000" w:rsidR="00000000" w:rsidRPr="00000000">
              <w:rPr>
                <w:rtl w:val="0"/>
              </w:rPr>
            </w:r>
          </w:p>
        </w:tc>
      </w:tr>
      <w:tr>
        <w:trPr>
          <w:cantSplit w:val="1"/>
          <w:trHeight w:val="504" w:hRule="atLeast"/>
          <w:tblHeader w:val="0"/>
        </w:trPr>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7">
            <w:pPr>
              <w:spacing w:line="276" w:lineRule="auto"/>
              <w:rPr>
                <w:b w:val="1"/>
                <w:sz w:val="24"/>
                <w:szCs w:val="24"/>
              </w:rPr>
            </w:pPr>
            <w:r w:rsidDel="00000000" w:rsidR="00000000" w:rsidRPr="00000000">
              <w:rPr>
                <w:b w:val="1"/>
                <w:sz w:val="24"/>
                <w:szCs w:val="24"/>
                <w:rtl w:val="0"/>
              </w:rPr>
              <w:t xml:space="preserve">ISO 14001 Environmental Management Systems</w:t>
            </w:r>
          </w:p>
        </w:tc>
        <w:tc>
          <w:tcPr>
            <w:tcBorders>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Suppliers will be required to be compliant with ISO 14001 and provide evidence of certification.</w:t>
            </w:r>
          </w:p>
        </w:tc>
      </w:tr>
      <w:tr>
        <w:trPr>
          <w:cantSplit w:val="1"/>
          <w:trHeight w:val="504" w:hRule="atLeast"/>
          <w:tblHeader w:val="0"/>
        </w:trPr>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9">
            <w:pPr>
              <w:spacing w:line="276" w:lineRule="auto"/>
              <w:rPr>
                <w:b w:val="1"/>
                <w:sz w:val="24"/>
                <w:szCs w:val="24"/>
              </w:rPr>
            </w:pPr>
            <w:r w:rsidDel="00000000" w:rsidR="00000000" w:rsidRPr="00000000">
              <w:rPr>
                <w:b w:val="1"/>
                <w:sz w:val="24"/>
                <w:szCs w:val="24"/>
                <w:rtl w:val="0"/>
              </w:rPr>
              <w:t xml:space="preserve">Carbon Reduction Plan</w:t>
            </w:r>
            <w:r w:rsidDel="00000000" w:rsidR="00000000" w:rsidRPr="00000000">
              <w:rPr>
                <w:rtl w:val="0"/>
              </w:rPr>
            </w:r>
          </w:p>
        </w:tc>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1A">
            <w:pPr>
              <w:keepNext w:val="0"/>
              <w:keepLines w:val="0"/>
              <w:pageBreakBefore w:val="0"/>
              <w:shd w:fill="ffffff" w:val="clear"/>
              <w:spacing w:after="0" w:before="0" w:line="266.6664" w:lineRule="auto"/>
              <w:rPr>
                <w:color w:val="0b0c0c"/>
                <w:sz w:val="24"/>
                <w:szCs w:val="24"/>
              </w:rPr>
            </w:pPr>
            <w:hyperlink r:id="rId12">
              <w:r w:rsidDel="00000000" w:rsidR="00000000" w:rsidRPr="00000000">
                <w:rPr>
                  <w:color w:val="1155cc"/>
                  <w:sz w:val="24"/>
                  <w:szCs w:val="24"/>
                  <w:u w:val="single"/>
                  <w:rtl w:val="0"/>
                </w:rPr>
                <w:t xml:space="preserve">Procurement Policy Note 06/21: Taking account of Carbon Reduction Plans in the procurement of major government contracts </w:t>
              </w:r>
            </w:hyperlink>
            <w:hyperlink r:id="rId13">
              <w:r w:rsidDel="00000000" w:rsidR="00000000" w:rsidRPr="00000000">
                <w:rPr>
                  <w:color w:val="1155cc"/>
                  <w:sz w:val="24"/>
                  <w:szCs w:val="24"/>
                  <w:u w:val="single"/>
                  <w:rtl w:val="0"/>
                </w:rPr>
                <w:t xml:space="preserve">guidance.</w:t>
              </w:r>
            </w:hyperlink>
            <w:r w:rsidDel="00000000" w:rsidR="00000000" w:rsidRPr="00000000">
              <w:rPr>
                <w:rtl w:val="0"/>
              </w:rPr>
            </w:r>
          </w:p>
          <w:p w:rsidR="00000000" w:rsidDel="00000000" w:rsidP="00000000" w:rsidRDefault="00000000" w:rsidRPr="00000000" w14:paraId="0000001B">
            <w:pPr>
              <w:keepNext w:val="0"/>
              <w:keepLines w:val="0"/>
              <w:pageBreakBefore w:val="0"/>
              <w:shd w:fill="ffffff" w:val="clear"/>
              <w:spacing w:after="0" w:before="0" w:line="266.6664" w:lineRule="auto"/>
              <w:rPr>
                <w:color w:val="0b0c0c"/>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color w:val="595959"/>
                <w:sz w:val="24"/>
                <w:szCs w:val="24"/>
              </w:rPr>
            </w:pPr>
            <w:r w:rsidDel="00000000" w:rsidR="00000000" w:rsidRPr="00000000">
              <w:rPr>
                <w:sz w:val="24"/>
                <w:szCs w:val="24"/>
                <w:rtl w:val="0"/>
              </w:rPr>
              <w:t xml:space="preserve">In order to support the target of Net Zero by 2050, from 30 September 2021, all major government contracts must include a selection criteria based around Carbon Reduction.</w:t>
            </w:r>
            <w:r w:rsidDel="00000000" w:rsidR="00000000" w:rsidRPr="00000000">
              <w:rPr>
                <w:rtl w:val="0"/>
              </w:rPr>
            </w:r>
          </w:p>
          <w:p w:rsidR="00000000" w:rsidDel="00000000" w:rsidP="00000000" w:rsidRDefault="00000000" w:rsidRPr="00000000" w14:paraId="0000001D">
            <w:pPr>
              <w:widowControl w:val="0"/>
              <w:spacing w:line="240" w:lineRule="auto"/>
              <w:ind w:left="720" w:hanging="540"/>
              <w:rPr>
                <w:b w:val="1"/>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sz w:val="24"/>
                <w:szCs w:val="24"/>
              </w:rPr>
            </w:pPr>
            <w:r w:rsidDel="00000000" w:rsidR="00000000" w:rsidRPr="00000000">
              <w:rPr>
                <w:sz w:val="24"/>
                <w:szCs w:val="24"/>
                <w:rtl w:val="0"/>
              </w:rPr>
              <w:t xml:space="preserve">How this impacts you:</w:t>
            </w:r>
          </w:p>
          <w:p w:rsidR="00000000" w:rsidDel="00000000" w:rsidP="00000000" w:rsidRDefault="00000000" w:rsidRPr="00000000" w14:paraId="000000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540"/>
              <w:rPr>
                <w:sz w:val="24"/>
                <w:szCs w:val="24"/>
              </w:rPr>
            </w:pPr>
            <w:r w:rsidDel="00000000" w:rsidR="00000000" w:rsidRPr="00000000">
              <w:rPr>
                <w:sz w:val="24"/>
                <w:szCs w:val="24"/>
                <w:rtl w:val="0"/>
              </w:rPr>
              <w:t xml:space="preserve">required for all framework agreements where there are Call-Off contracts valued at over £5m</w:t>
            </w:r>
          </w:p>
          <w:p w:rsidR="00000000" w:rsidDel="00000000" w:rsidP="00000000" w:rsidRDefault="00000000" w:rsidRPr="00000000" w14:paraId="00000021">
            <w:pPr>
              <w:widowControl w:val="0"/>
              <w:numPr>
                <w:ilvl w:val="0"/>
                <w:numId w:val="1"/>
              </w:numPr>
              <w:spacing w:line="240" w:lineRule="auto"/>
              <w:ind w:left="720" w:hanging="540"/>
              <w:rPr>
                <w:sz w:val="24"/>
                <w:szCs w:val="24"/>
              </w:rPr>
            </w:pPr>
            <w:r w:rsidDel="00000000" w:rsidR="00000000" w:rsidRPr="00000000">
              <w:rPr>
                <w:sz w:val="24"/>
                <w:szCs w:val="24"/>
                <w:rtl w:val="0"/>
              </w:rPr>
              <w:t xml:space="preserve">the content of the plan is not evaluated, it is a pass/fail approach</w:t>
            </w:r>
          </w:p>
          <w:p w:rsidR="00000000" w:rsidDel="00000000" w:rsidP="00000000" w:rsidRDefault="00000000" w:rsidRPr="00000000" w14:paraId="000000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Supporting you:</w:t>
            </w:r>
          </w:p>
          <w:p w:rsidR="00000000" w:rsidDel="00000000" w:rsidP="00000000" w:rsidRDefault="00000000" w:rsidRPr="00000000" w14:paraId="000000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color w:val="0b0c0c"/>
                <w:sz w:val="24"/>
                <w:szCs w:val="24"/>
              </w:rPr>
            </w:pPr>
            <w:r w:rsidDel="00000000" w:rsidR="00000000" w:rsidRPr="00000000">
              <w:rPr>
                <w:sz w:val="24"/>
                <w:szCs w:val="24"/>
                <w:rtl w:val="0"/>
              </w:rPr>
              <w:t xml:space="preserve">CCS runs weekly sessions to support suppliers within producing a carbon reduction plan. </w:t>
            </w:r>
            <w:hyperlink r:id="rId14">
              <w:r w:rsidDel="00000000" w:rsidR="00000000" w:rsidRPr="00000000">
                <w:rPr>
                  <w:color w:val="1155cc"/>
                  <w:sz w:val="24"/>
                  <w:szCs w:val="24"/>
                  <w:u w:val="single"/>
                  <w:rtl w:val="0"/>
                </w:rPr>
                <w:t xml:space="preserve">Register your interest for the next session</w:t>
              </w:r>
            </w:hyperlink>
            <w:r w:rsidDel="00000000" w:rsidR="00000000" w:rsidRPr="00000000">
              <w:rPr>
                <w:sz w:val="24"/>
                <w:szCs w:val="24"/>
                <w:rtl w:val="0"/>
              </w:rPr>
              <w:t xml:space="preserve">.</w:t>
            </w:r>
            <w:r w:rsidDel="00000000" w:rsidR="00000000" w:rsidRPr="00000000">
              <w:rPr>
                <w:rtl w:val="0"/>
              </w:rPr>
            </w:r>
          </w:p>
        </w:tc>
      </w:tr>
      <w:tr>
        <w:trPr>
          <w:cantSplit w:val="1"/>
          <w:trHeight w:val="504" w:hRule="atLeast"/>
          <w:tblHeader w:val="0"/>
        </w:trPr>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27">
            <w:pPr>
              <w:spacing w:line="276" w:lineRule="auto"/>
              <w:rPr>
                <w:b w:val="1"/>
                <w:sz w:val="24"/>
                <w:szCs w:val="24"/>
              </w:rPr>
            </w:pPr>
            <w:r w:rsidDel="00000000" w:rsidR="00000000" w:rsidRPr="00000000">
              <w:rPr>
                <w:b w:val="1"/>
                <w:sz w:val="24"/>
                <w:szCs w:val="24"/>
                <w:rtl w:val="0"/>
              </w:rPr>
              <w:t xml:space="preserve">Prompt Payment Report</w:t>
            </w:r>
            <w:r w:rsidDel="00000000" w:rsidR="00000000" w:rsidRPr="00000000">
              <w:rPr>
                <w:rtl w:val="0"/>
              </w:rPr>
            </w:r>
          </w:p>
        </w:tc>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28">
            <w:pPr>
              <w:rPr>
                <w:sz w:val="24"/>
                <w:szCs w:val="24"/>
              </w:rPr>
            </w:pPr>
            <w:hyperlink r:id="rId15">
              <w:r w:rsidDel="00000000" w:rsidR="00000000" w:rsidRPr="00000000">
                <w:rPr>
                  <w:color w:val="1155cc"/>
                  <w:sz w:val="24"/>
                  <w:szCs w:val="24"/>
                  <w:u w:val="single"/>
                  <w:rtl w:val="0"/>
                </w:rPr>
                <w:t xml:space="preserve">PPN 018: Taking account of a supplier’s approach to payment in the procurement of major contracts</w:t>
              </w:r>
            </w:hyperlink>
            <w:r w:rsidDel="00000000" w:rsidR="00000000" w:rsidRPr="00000000">
              <w:rPr>
                <w:rtl w:val="0"/>
              </w:rPr>
            </w:r>
          </w:p>
          <w:p w:rsidR="00000000" w:rsidDel="00000000" w:rsidP="00000000" w:rsidRDefault="00000000" w:rsidRPr="00000000" w14:paraId="00000029">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A">
            <w:pPr>
              <w:shd w:fill="ffffff" w:val="clear"/>
              <w:spacing w:line="276" w:lineRule="auto"/>
              <w:rPr>
                <w:sz w:val="24"/>
                <w:szCs w:val="24"/>
              </w:rPr>
            </w:pPr>
            <w:r w:rsidDel="00000000" w:rsidR="00000000" w:rsidRPr="00000000">
              <w:rPr>
                <w:sz w:val="24"/>
                <w:szCs w:val="24"/>
                <w:rtl w:val="0"/>
              </w:rPr>
              <w:t xml:space="preserve">PPN 018 applies to this framework agreement as it is anticipated that there will be individual Call-Off Contracts greater than </w:t>
            </w:r>
            <w:r w:rsidDel="00000000" w:rsidR="00000000" w:rsidRPr="00000000">
              <w:rPr>
                <w:color w:val="0b0c0c"/>
                <w:sz w:val="24"/>
                <w:szCs w:val="24"/>
                <w:highlight w:val="white"/>
                <w:rtl w:val="0"/>
              </w:rPr>
              <w:t xml:space="preserve">£5 million per annum (excluding VAT).</w:t>
            </w:r>
            <w:r w:rsidDel="00000000" w:rsidR="00000000" w:rsidRPr="00000000">
              <w:rPr>
                <w:rtl w:val="0"/>
              </w:rPr>
            </w:r>
          </w:p>
          <w:p w:rsidR="00000000" w:rsidDel="00000000" w:rsidP="00000000" w:rsidRDefault="00000000" w:rsidRPr="00000000" w14:paraId="0000002B">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C">
            <w:pPr>
              <w:shd w:fill="ffffff" w:val="clear"/>
              <w:spacing w:line="276" w:lineRule="auto"/>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 policy requires that any organisation that bids for a central government contract, in excess of £5 million per annum, will need to answer questions about its supply chain management and payment tracking</w:t>
            </w:r>
          </w:p>
          <w:p w:rsidR="00000000" w:rsidDel="00000000" w:rsidP="00000000" w:rsidRDefault="00000000" w:rsidRPr="00000000" w14:paraId="0000002D">
            <w:pPr>
              <w:shd w:fill="ffffff" w:val="clear"/>
              <w:spacing w:line="276" w:lineRule="auto"/>
              <w:rPr>
                <w:color w:val="0b0c0c"/>
                <w:sz w:val="24"/>
                <w:szCs w:val="24"/>
              </w:rPr>
            </w:pPr>
            <w:r w:rsidDel="00000000" w:rsidR="00000000" w:rsidRPr="00000000">
              <w:rPr>
                <w:sz w:val="24"/>
                <w:szCs w:val="24"/>
                <w:rtl w:val="0"/>
              </w:rPr>
              <w:t xml:space="preserve">systems at the selection stage. </w:t>
            </w:r>
            <w:hyperlink r:id="rId16">
              <w:r w:rsidDel="00000000" w:rsidR="00000000" w:rsidRPr="00000000">
                <w:rPr>
                  <w:color w:val="1155cc"/>
                  <w:sz w:val="24"/>
                  <w:szCs w:val="24"/>
                  <w:u w:val="single"/>
                  <w:rtl w:val="0"/>
                </w:rPr>
                <w:t xml:space="preserve">Guidance</w:t>
              </w:r>
            </w:hyperlink>
            <w:r w:rsidDel="00000000" w:rsidR="00000000" w:rsidRPr="00000000">
              <w:rPr>
                <w:color w:val="0b0c0c"/>
                <w:sz w:val="24"/>
                <w:szCs w:val="24"/>
                <w:rtl w:val="0"/>
              </w:rPr>
              <w:t xml:space="preserve"> on this PPN is available. </w:t>
            </w:r>
          </w:p>
          <w:p w:rsidR="00000000" w:rsidDel="00000000" w:rsidP="00000000" w:rsidRDefault="00000000" w:rsidRPr="00000000" w14:paraId="0000002E">
            <w:pPr>
              <w:shd w:fill="ffffff" w:val="clear"/>
              <w:spacing w:line="276" w:lineRule="auto"/>
              <w:rPr>
                <w:color w:val="0b0c0c"/>
                <w:sz w:val="24"/>
                <w:szCs w:val="24"/>
              </w:rPr>
            </w:pPr>
            <w:r w:rsidDel="00000000" w:rsidR="00000000" w:rsidRPr="00000000">
              <w:rPr>
                <w:rtl w:val="0"/>
              </w:rPr>
            </w:r>
          </w:p>
          <w:p w:rsidR="00000000" w:rsidDel="00000000" w:rsidP="00000000" w:rsidRDefault="00000000" w:rsidRPr="00000000" w14:paraId="0000002F">
            <w:pPr>
              <w:shd w:fill="ffffff" w:val="clear"/>
              <w:spacing w:line="276" w:lineRule="auto"/>
              <w:rPr>
                <w:color w:val="0b0c0c"/>
                <w:sz w:val="24"/>
                <w:szCs w:val="24"/>
              </w:rPr>
            </w:pPr>
            <w:r w:rsidDel="00000000" w:rsidR="00000000" w:rsidRPr="00000000">
              <w:rPr>
                <w:color w:val="0b0c0c"/>
                <w:sz w:val="24"/>
                <w:szCs w:val="24"/>
                <w:rtl w:val="0"/>
              </w:rPr>
              <w:t xml:space="preserve">CCS has published prompt payment policy </w:t>
            </w:r>
            <w:hyperlink r:id="rId17">
              <w:r w:rsidDel="00000000" w:rsidR="00000000" w:rsidRPr="00000000">
                <w:rPr>
                  <w:color w:val="1155cc"/>
                  <w:sz w:val="24"/>
                  <w:szCs w:val="24"/>
                  <w:u w:val="single"/>
                  <w:rtl w:val="0"/>
                </w:rPr>
                <w:t xml:space="preserve">guidance for Small and Medium Enterprises</w:t>
              </w:r>
            </w:hyperlink>
            <w:r w:rsidDel="00000000" w:rsidR="00000000" w:rsidRPr="00000000">
              <w:rPr>
                <w:color w:val="0b0c0c"/>
                <w:sz w:val="24"/>
                <w:szCs w:val="24"/>
                <w:rtl w:val="0"/>
              </w:rPr>
              <w:t xml:space="preserve">.</w:t>
            </w:r>
            <w:r w:rsidDel="00000000" w:rsidR="00000000" w:rsidRPr="00000000">
              <w:rPr>
                <w:rtl w:val="0"/>
              </w:rPr>
            </w:r>
          </w:p>
        </w:tc>
      </w:tr>
      <w:tr>
        <w:trPr>
          <w:cantSplit w:val="1"/>
          <w:trHeight w:val="504" w:hRule="atLeast"/>
          <w:tblHeader w:val="0"/>
        </w:trPr>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30">
            <w:pPr>
              <w:spacing w:line="276" w:lineRule="auto"/>
              <w:rPr>
                <w:b w:val="1"/>
                <w:sz w:val="24"/>
                <w:szCs w:val="24"/>
              </w:rPr>
            </w:pPr>
            <w:r w:rsidDel="00000000" w:rsidR="00000000" w:rsidRPr="00000000">
              <w:rPr>
                <w:b w:val="1"/>
                <w:sz w:val="24"/>
                <w:szCs w:val="24"/>
                <w:rtl w:val="0"/>
              </w:rPr>
              <w:t xml:space="preserve">Employers liability insurance</w:t>
            </w:r>
            <w:r w:rsidDel="00000000" w:rsidR="00000000" w:rsidRPr="00000000">
              <w:rPr>
                <w:rtl w:val="0"/>
              </w:rPr>
            </w:r>
          </w:p>
        </w:tc>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31">
            <w:pPr>
              <w:spacing w:line="276" w:lineRule="auto"/>
              <w:rPr>
                <w:color w:val="0b0c0c"/>
                <w:sz w:val="24"/>
                <w:szCs w:val="24"/>
              </w:rPr>
            </w:pPr>
            <w:r w:rsidDel="00000000" w:rsidR="00000000" w:rsidRPr="00000000">
              <w:rPr>
                <w:color w:val="0b0c0c"/>
                <w:sz w:val="24"/>
                <w:szCs w:val="24"/>
                <w:rtl w:val="0"/>
              </w:rPr>
              <w:t xml:space="preserve">The minimum required amount is £10,000,000.</w:t>
            </w:r>
            <w:r w:rsidDel="00000000" w:rsidR="00000000" w:rsidRPr="00000000">
              <w:rPr>
                <w:rtl w:val="0"/>
              </w:rPr>
            </w:r>
          </w:p>
        </w:tc>
      </w:tr>
      <w:tr>
        <w:trPr>
          <w:cantSplit w:val="1"/>
          <w:trHeight w:val="504" w:hRule="atLeast"/>
          <w:tblHeader w:val="0"/>
        </w:trPr>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32">
            <w:pPr>
              <w:spacing w:line="276" w:lineRule="auto"/>
              <w:rPr>
                <w:b w:val="1"/>
                <w:sz w:val="24"/>
                <w:szCs w:val="24"/>
              </w:rPr>
            </w:pPr>
            <w:r w:rsidDel="00000000" w:rsidR="00000000" w:rsidRPr="00000000">
              <w:rPr>
                <w:b w:val="1"/>
                <w:sz w:val="24"/>
                <w:szCs w:val="24"/>
                <w:rtl w:val="0"/>
              </w:rPr>
              <w:t xml:space="preserve">Public and products liability insurance</w:t>
            </w:r>
            <w:r w:rsidDel="00000000" w:rsidR="00000000" w:rsidRPr="00000000">
              <w:rPr>
                <w:rtl w:val="0"/>
              </w:rPr>
            </w:r>
          </w:p>
        </w:tc>
        <w:tc>
          <w:tcPr>
            <w:tcBorders>
              <w:top w:color="d0cece" w:space="0" w:sz="4" w:val="single"/>
              <w:bottom w:color="d0cece" w:space="0" w:sz="4" w:val="single"/>
            </w:tcBorders>
            <w:shd w:fill="auto" w:val="clear"/>
            <w:tcMar>
              <w:top w:w="144.0" w:type="dxa"/>
              <w:left w:w="144.0" w:type="dxa"/>
              <w:bottom w:w="144.0" w:type="dxa"/>
              <w:right w:w="144.0" w:type="dxa"/>
            </w:tcMar>
            <w:vAlign w:val="center"/>
          </w:tcPr>
          <w:p w:rsidR="00000000" w:rsidDel="00000000" w:rsidP="00000000" w:rsidRDefault="00000000" w:rsidRPr="00000000" w14:paraId="00000033">
            <w:pPr>
              <w:spacing w:line="276" w:lineRule="auto"/>
              <w:rPr>
                <w:color w:val="0b0c0c"/>
                <w:sz w:val="24"/>
                <w:szCs w:val="24"/>
              </w:rPr>
            </w:pPr>
            <w:r w:rsidDel="00000000" w:rsidR="00000000" w:rsidRPr="00000000">
              <w:rPr>
                <w:color w:val="0b0c0c"/>
                <w:sz w:val="24"/>
                <w:szCs w:val="24"/>
                <w:rtl w:val="0"/>
              </w:rPr>
              <w:t xml:space="preserve">The minimum required amount is £10,000,000.</w:t>
            </w:r>
            <w:r w:rsidDel="00000000" w:rsidR="00000000" w:rsidRPr="00000000">
              <w:rPr>
                <w:rtl w:val="0"/>
              </w:rPr>
            </w:r>
          </w:p>
        </w:tc>
      </w:tr>
    </w:tbl>
    <w:p w:rsidR="00000000" w:rsidDel="00000000" w:rsidP="00000000" w:rsidRDefault="00000000" w:rsidRPr="00000000" w14:paraId="00000034">
      <w:pPr>
        <w:pStyle w:val="Heading2"/>
        <w:rPr/>
      </w:pPr>
      <w:bookmarkStart w:colFirst="0" w:colLast="0" w:name="_3znysh7" w:id="3"/>
      <w:bookmarkEnd w:id="3"/>
      <w:r w:rsidDel="00000000" w:rsidR="00000000" w:rsidRPr="00000000">
        <w:rPr>
          <w:rtl w:val="0"/>
        </w:rPr>
      </w:r>
    </w:p>
    <w:p w:rsidR="00000000" w:rsidDel="00000000" w:rsidP="00000000" w:rsidRDefault="00000000" w:rsidRPr="00000000" w14:paraId="00000035">
      <w:pPr>
        <w:pStyle w:val="Title"/>
        <w:keepNext w:val="0"/>
        <w:keepLines w:val="0"/>
        <w:rPr>
          <w:color w:val="0b0c0c"/>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540"/>
      </w:pPr>
      <w:rPr>
        <w:u w:val="none"/>
      </w:rPr>
    </w:lvl>
    <w:lvl w:ilvl="1">
      <w:start w:val="1"/>
      <w:numFmt w:val="bullet"/>
      <w:lvlText w:val=""/>
      <w:lvlJc w:val="right"/>
      <w:pPr>
        <w:ind w:left="1440" w:hanging="500"/>
      </w:pPr>
      <w:rPr>
        <w:u w:val="none"/>
      </w:rPr>
    </w:lvl>
    <w:lvl w:ilvl="2">
      <w:start w:val="1"/>
      <w:numFmt w:val="bullet"/>
      <w:lvlText w:val=""/>
      <w:lvlJc w:val="right"/>
      <w:pPr>
        <w:ind w:left="2160" w:hanging="500"/>
      </w:pPr>
      <w:rPr>
        <w:u w:val="none"/>
      </w:rPr>
    </w:lvl>
    <w:lvl w:ilvl="3">
      <w:start w:val="1"/>
      <w:numFmt w:val="bullet"/>
      <w:lvlText w:val=""/>
      <w:lvlJc w:val="right"/>
      <w:pPr>
        <w:ind w:left="2880" w:hanging="500"/>
      </w:pPr>
      <w:rPr>
        <w:u w:val="none"/>
      </w:rPr>
    </w:lvl>
    <w:lvl w:ilvl="4">
      <w:start w:val="1"/>
      <w:numFmt w:val="bullet"/>
      <w:lvlText w:val=""/>
      <w:lvlJc w:val="right"/>
      <w:pPr>
        <w:ind w:left="3600" w:hanging="500"/>
      </w:pPr>
      <w:rPr>
        <w:u w:val="none"/>
      </w:rPr>
    </w:lvl>
    <w:lvl w:ilvl="5">
      <w:start w:val="1"/>
      <w:numFmt w:val="bullet"/>
      <w:lvlText w:val=""/>
      <w:lvlJc w:val="right"/>
      <w:pPr>
        <w:ind w:left="4320" w:hanging="500"/>
      </w:pPr>
      <w:rPr>
        <w:u w:val="none"/>
      </w:rPr>
    </w:lvl>
    <w:lvl w:ilvl="6">
      <w:start w:val="1"/>
      <w:numFmt w:val="bullet"/>
      <w:lvlText w:val=""/>
      <w:lvlJc w:val="right"/>
      <w:pPr>
        <w:ind w:left="5040" w:hanging="500"/>
      </w:pPr>
      <w:rPr>
        <w:u w:val="none"/>
      </w:rPr>
    </w:lvl>
    <w:lvl w:ilvl="7">
      <w:start w:val="1"/>
      <w:numFmt w:val="bullet"/>
      <w:lvlText w:val=""/>
      <w:lvlJc w:val="right"/>
      <w:pPr>
        <w:ind w:left="5760" w:hanging="500"/>
      </w:pPr>
      <w:rPr>
        <w:u w:val="none"/>
      </w:rPr>
    </w:lvl>
    <w:lvl w:ilvl="8">
      <w:start w:val="1"/>
      <w:numFmt w:val="bullet"/>
      <w:lvlText w:val=""/>
      <w:lvlJc w:val="right"/>
      <w:pPr>
        <w:ind w:left="6480" w:hanging="50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120" w:before="120" w:line="360" w:lineRule="auto"/>
    </w:pPr>
    <w:rPr>
      <w:color w:val="9b1a47"/>
      <w:sz w:val="44"/>
      <w:szCs w:val="44"/>
    </w:rPr>
  </w:style>
  <w:style w:type="paragraph" w:styleId="Heading2">
    <w:name w:val="heading 2"/>
    <w:basedOn w:val="Normal"/>
    <w:next w:val="Normal"/>
    <w:pPr>
      <w:keepNext w:val="1"/>
      <w:keepLines w:val="1"/>
      <w:spacing w:after="120" w:before="120" w:line="360" w:lineRule="auto"/>
    </w:pPr>
    <w:rPr>
      <w:color w:val="9b1a47"/>
      <w:sz w:val="36"/>
      <w:szCs w:val="36"/>
    </w:rPr>
  </w:style>
  <w:style w:type="paragraph" w:styleId="Heading3">
    <w:name w:val="heading 3"/>
    <w:basedOn w:val="Normal"/>
    <w:next w:val="Normal"/>
    <w:pPr>
      <w:keepNext w:val="1"/>
      <w:keepLines w:val="1"/>
      <w:spacing w:after="120" w:before="120" w:line="360" w:lineRule="auto"/>
    </w:pPr>
    <w:rPr>
      <w:color w:val="9b1a47"/>
      <w:sz w:val="32"/>
      <w:szCs w:val="32"/>
    </w:rPr>
  </w:style>
  <w:style w:type="paragraph" w:styleId="Heading4">
    <w:name w:val="heading 4"/>
    <w:basedOn w:val="Normal"/>
    <w:next w:val="Normal"/>
    <w:pPr>
      <w:keepNext w:val="1"/>
      <w:keepLines w:val="1"/>
      <w:spacing w:after="180" w:before="40" w:line="360" w:lineRule="auto"/>
    </w:pPr>
    <w:rPr>
      <w:color w:val="9b1a47"/>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80" w:line="360" w:lineRule="auto"/>
    </w:pPr>
    <w:rPr>
      <w:sz w:val="44"/>
      <w:szCs w:val="4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cyber-essentials-scheme-overview" TargetMode="External"/><Relationship Id="rId10" Type="http://schemas.openxmlformats.org/officeDocument/2006/relationships/hyperlink" Target="https://www.gov.uk/government/publications/ppn-0923-updates-to-the-cyber-essentials-scheme" TargetMode="External"/><Relationship Id="rId13" Type="http://schemas.openxmlformats.org/officeDocument/2006/relationships/hyperlink" Target="https://www.gov.uk/government/publications/procurement-policy-note-0621-taking-account-of-carbon-reduction-plans-in-the-procurement-of-major-government-contracts" TargetMode="External"/><Relationship Id="rId12" Type="http://schemas.openxmlformats.org/officeDocument/2006/relationships/hyperlink" Target="https://www.gov.uk/government/publications/procurement-policy-note-0621-taking-account-of-carbon-reduction-plans-in-the-procurement-of-major-government-contra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gov.uk/government/publications/ppn-018-how-to-take-account-of-a-suppliers-approach-to-payment-in-the-procurement-of-major-contracts/ppn-018-taking-account-of-a-suppliers-approach-to-payment-in-the-procurement-of-major-contracts-html" TargetMode="External"/><Relationship Id="rId14" Type="http://schemas.openxmlformats.org/officeDocument/2006/relationships/hyperlink" Target="https://www.eventbrite.co.uk/e/ppn-0621-carbon-reduction-plan-creation-and-training-tickets-224041864247" TargetMode="External"/><Relationship Id="rId17" Type="http://schemas.openxmlformats.org/officeDocument/2006/relationships/hyperlink" Target="https://www.crowncommercial.gov.uk/news/prompt-payment-policy-guidance-for-small-and-medium-enterprises-supplier-specifics" TargetMode="External"/><Relationship Id="rId16" Type="http://schemas.openxmlformats.org/officeDocument/2006/relationships/hyperlink" Target="https://www.gov.uk/guidance/prompt-payment-policy"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